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A-1458/2021 vom 4. Juli 2022</w:t>
      </w:r>
    </w:p>
    <w:p>
      <w:r>
        <w:t>Bundesverwaltungsgericht, 2022-07-04, FR</w:t>
      </w:r>
    </w:p>
    <w:p>
      <w:r>
        <w:rPr>
          <w:b/>
        </w:rPr>
        <w:t xml:space="preserve">Quelle: </w:t>
      </w:r>
      <w:r>
        <w:t>https://mcp.opencaselaw.ch/entscheid/bvger_A-1458_2021</w:t>
      </w:r>
    </w:p>
    <w:p>
      <w:r>
        <w:t>FR: TAF A-1458/2021 du 4 juillet 2022</w:t>
      </w:r>
    </w:p>
    <w:p>
      <w:r>
        <w:t>IT: TAF A-1458/2021 del 4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avoir cédé ses avoirs à un trust irrévocable et discrétionnaire de droit (...) en ***, à savoir au cours de la période concernée.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w:t>
      </w:r>
    </w:p>
    <w:p>
      <w:r>
        <w:rPr>
          <w:b/>
        </w:rPr>
        <w:t>E. 5.2.2</w:t>
      </w:r>
    </w:p>
    <w:p>
      <w:r>
        <w:t>Le Tribunal relève tout d'abord que les pièces produites par la recourante ne corroborent pas, ou que partiellement, ses allégations, l'absence de distribution,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w:t>
      </w:r>
    </w:p>
    <w:p>
      <w:r>
        <w:rPr>
          <w:b/>
        </w:rPr>
        <w:t>E. 5.2.3</w:t>
      </w:r>
    </w:p>
    <w:p>
      <w:r>
        <w:t>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(à ce sujet, voir consid. 5.3 ci-dessous). En conséquence, le grief de la recourante est rejeté.</w:t>
      </w:r>
    </w:p>
    <w:p>
      <w:r>
        <w:rPr>
          <w:b/>
        </w:rPr>
        <w:t>E. 5.3.1</w:t>
      </w:r>
    </w:p>
    <w:p>
      <w:r>
        <w:t>La recourante argue encore qu'il n'existerait aucun critère de rattachement fiscal avec l'Etat requérant, contestant ainsi, à tout le moins implicitement, la réalisation de la condition de la pertinence vraisemblable. La recourante serait en effet domiciliée en (...) depuis de nombreuses années, en sorte qu'elle n'entretiendrait plus aucun lien avec la France. Elle en veut pour preuve que le trust auquel elle a cédé ses avoirs en *** (cf. consid. 5.2.1 supra) a été déclaré aux autorités fiscales (...) en ***. Ces éléments suffiraient à renverser la présomption d'exactitude des codes de domicile français (suffixe 111) figurant sur les listes B et C (cf. Faits, let. A.b plus haut), en sorte que la qualité de contribuable français de la recourante devrait être niée.</w:t>
      </w:r>
    </w:p>
    <w:p>
      <w:r>
        <w:rPr>
          <w:b/>
        </w:rPr>
        <w:t>E. 5.3.2</w:t>
      </w:r>
    </w:p>
    <w:p>
      <w:r>
        <w:t>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Cela étant,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 dans lequel la recourante fait valoir avoir son domicile n'a pas à être examinée par la Cour de céans. La Cour relève au demeurant qu'il ressort des pièces produites par la recourante qu'elle a transféré son domicile de la France vers (...) en date du ***. La recourante était donc bien domiciliée en France pendant la période sous contrôle, en sorte qu'elle échoue, de toutes les manières, à démontrer l'absence de critère de rattachement avec l'Etat requérant. Au vu de tout ce qui précède, le grief de la recourante doit être rejeté.</w:t>
      </w:r>
    </w:p>
    <w:p>
      <w:r>
        <w:rPr>
          <w:b/>
        </w:rPr>
        <w:t>E. 5.4.1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la France. En effet, notre Haute Cour a jugé - d'une manière qui lie la Cour de céans - qu'il n'existait aucun indice concret permettant de conclure que la France avait l'intention de violer ledit principe ou l'obligation de confidentialité prévus à l'art. 28 par. 2 CDI CH-FR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5.5</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