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A-1456/2021 vom 4. Juli 2022</w:t>
      </w:r>
    </w:p>
    <w:p>
      <w:r>
        <w:t>Bundesverwaltungsgericht, 2022-07-04, FR</w:t>
      </w:r>
    </w:p>
    <w:p>
      <w:r>
        <w:rPr>
          <w:b/>
        </w:rPr>
        <w:t xml:space="preserve">Quelle: </w:t>
      </w:r>
      <w:r>
        <w:t>https://mcp.opencaselaw.ch/entscheid/bvger_A-1456_2021</w:t>
      </w:r>
    </w:p>
    <w:p>
      <w:r>
        <w:t>FR: TAF A-1456/2021 du 4 juillet 2022</w:t>
      </w:r>
    </w:p>
    <w:p>
      <w:r>
        <w:t>IT: TAF A-1456/2021 del 4 luglio 2022</w:t>
      </w:r>
    </w:p>
    <w:p>
      <w:pPr>
        <w:pStyle w:val="Heading2"/>
      </w:pPr>
      <w:r>
        <w:t>Regeste</w:t>
      </w:r>
    </w:p>
    <w:p>
      <w:r>
        <w:t>Assistance administrative</w:t>
      </w:r>
    </w:p>
    <w:p>
      <w:pPr>
        <w:pStyle w:val="Heading2"/>
      </w:pPr>
      <w:r>
        <w:t>Erwägungen</w:t>
      </w:r>
    </w:p>
    <w:p>
      <w:r>
        <w:rPr>
          <w:b/>
        </w:rPr>
        <w:t>E. 5.1.1</w:t>
      </w:r>
    </w:p>
    <w:p>
      <w:r>
        <w:t>Dans un premier grief, le recourant se prévaut d'une violation des art. 20 al. 3 LAAF et 28 par. 3 CDI CH-FR, à forme d'une absence de consentement à la transmission des données à un Etat tiers. Il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lui,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le recourant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du recourant est rejeté.</w:t>
      </w:r>
    </w:p>
    <w:p>
      <w:r>
        <w:rPr>
          <w:b/>
        </w:rPr>
        <w:t>E. 5.2.1</w:t>
      </w:r>
    </w:p>
    <w:p>
      <w:r>
        <w:t>Dans un deuxième et dernier grief, le recourant se plaint d'une violation de son droit d'être entendu en lien avec un moyen tiré de la violation du principe de spécialité. Il reproche ici à l'autorité inférieure de ne pas lui avoir donné accès aux éléments invoqués par la banque UBS, dans la procédure la concernant, à l'appui de sa dénonciation du principe de spécialité par l'Etat requérant. Il soutient que la consultation de ces éléments du dossier concernant la banque UBS lui serait indispensable pour se défendre utilement, dès lors qu'il serait possible qu'il en tire argument et puisse ainsi démontrer la violation du principe précité par les autorités françaises. Pour ces mêmes motifs, le recourant requiert, à titre préalable, le droit de consulter les documents utiles et, le cas échéant, de compléter son recours en conséquence.</w:t>
      </w:r>
    </w:p>
    <w:p>
      <w:r>
        <w:rPr>
          <w:b/>
        </w:rPr>
        <w:t>E. 5.2.2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5.2.3</w:t>
      </w:r>
    </w:p>
    <w:p>
      <w:r>
        <w:t>En l'occurrence, la Cour constate que le recourant a eu accès à l'intégralité des pièces de son dossier (cf. Faits, let. C supra). L'AFC ne l'a certes pas autorisé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le recourant, l'accès aux pièces qu'il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le recourant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5.3</w:t>
      </w:r>
    </w:p>
    <w:p>
      <w:r>
        <w:t>Pour le surplus, rien n'indique - et le recourant ne le prétend pas - que les autres conditions matérielles de l'assistance administrative ne seraient pas respectées.</w:t>
      </w:r>
    </w:p>
    <w:p>
      <w:r>
        <w:rPr>
          <w:b/>
        </w:rPr>
        <w:t>E. 6.1</w:t>
      </w:r>
    </w:p>
    <w:p>
      <w:r>
        <w:t>Compte tenu de ce qui précède, le recours est rejeté. Le recourant,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