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A-1454/2021 vom 3. Mai 2022</w:t>
      </w:r>
    </w:p>
    <w:p>
      <w:r>
        <w:t>Bundesverwaltungsgericht, 2022-05-03, FR</w:t>
      </w:r>
    </w:p>
    <w:p>
      <w:r>
        <w:rPr>
          <w:b/>
        </w:rPr>
        <w:t xml:space="preserve">Quelle: </w:t>
      </w:r>
      <w:r>
        <w:t>https://mcp.opencaselaw.ch/entscheid/bvger_A-1454_2021</w:t>
      </w:r>
    </w:p>
    <w:p>
      <w:r>
        <w:t>FR: TAF A-1454/2021 du 3 mai 2022</w:t>
      </w:r>
    </w:p>
    <w:p>
      <w:r>
        <w:t>IT: TAF A-1454/2021 del 3 maggio 2022</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Sous réserve de l'exception prévue à l'art. 32 al. 1 let. c LTAF, le Tribunal est compétent, en vertu de l'art. 36 al. 1 de la loi sur le personnel de la Confédération du 24 mars 2000 (LPers, RS 172.220.1), pour connaître des recours contre les décisions au sens de l'art. 5 PA prises par l'employeur. Tel est le cas en l'espèce, la compétence de l'autorité inférieure étant également énoncée à l'art. 182 CCT 2019. L'acte attaqué du 25 février 2021 satisfait en outre aux conditions prévalant à la reconnaissance d'une décision au sens de l'art. 5 al. 1 PA.</w:t>
      </w:r>
    </w:p>
    <w:p>
      <w:r>
        <w:rPr>
          <w:b/>
        </w:rPr>
        <w:t>E. 1.2</w:t>
      </w:r>
    </w:p>
    <w:p>
      <w:r>
        <w:t>La recourante a pris part à la procédure devant l'autorité inférieure. Etant la destinataire de la décision de résiliation attaquée, elle est particulièrement atteinte et a un intérêt digne de protection à requérir son annulation ou sa modification (art. 48 al. 1 PA). Elle a qualité pour recourir.</w:t>
      </w:r>
    </w:p>
    <w:p>
      <w:r>
        <w:rPr>
          <w:b/>
        </w:rPr>
        <w:t>E. 1.3</w:t>
      </w:r>
    </w:p>
    <w:p>
      <w:r>
        <w:t>Présenté enfin dans le délai (art. 50 al. 1 PA) et les formes (art. 52 al. 1 PA) prescrits par la loi, le recours est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 du Tribunal administratif fédéral [TAF] A-3750/2016 du 2 février 2017 consid. 1.4.1 et les réf. cit. ; André Moser/Michael Beusch/Lorenz Kneubühler, Prozessieren vor dem Bundesverwaltungsgericht, 2ème éd., Bâle 2013, n. 2.160 ; Jérôme Candrian, Introduction à la procédure administrative fédérale, Bâle 2013, n. 191 p. 113 s.).</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Moser/Beusch/Kneubühler, op. cit., n. 2.165).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 résiliation ordinaire des rapports de travail de la recourante est intervenue valablement.</w:t>
      </w:r>
    </w:p>
    <w:p>
      <w:r>
        <w:rPr>
          <w:b/>
        </w:rPr>
        <w:t>E. 3.1</w:t>
      </w:r>
    </w:p>
    <w:p>
      <w:r>
        <w:t>Les manquements reprochés à la recourante se sont déroulés pour partie avant la signature du contrat de travail et pour partie après son entrée en fonction. L'autorité inférieure a essentiellement motivé le licenciement de la recourante par des manquements dans son comportement, en se fondant sur l'art. 173 al. 1 let. b CCT 2019. Cela étant, comme mentionné ci-dessus, le Tribunal applique le droit d'office et n'est pas lié par l'argumentation juridique développée dans la décision querellée (cf. consid. 2.2 supra). Dans la mesure où la recourante se plaint de l'inexactitude des motifs de licenciement sur lesquels l'autorité inférieure affirme s'être fondée et de l'absence de menace de licenciement, il conviendra, dans un premier temps, après avoir rappelé le droit applicable (cf. consid. 4 ci-après), d'examiner si les motifs de résiliation sont suffisants et quelle est leur qualification juridique (cf. consid. 5.1 et 5.2 ci-après), et si une menace de licenciement aurait dû précéder la résiliation des rapports de travail (cf. consid. 5.3 ci-après). Dans un second temps, il conviendra de vérifier qu'il n'a pas été mis abusivement fin au contrat de travail de la recourante comme elle le prétend (cf. consid. 6 ci-après).</w:t>
      </w:r>
    </w:p>
    <w:p>
      <w:r>
        <w:rPr>
          <w:b/>
        </w:rPr>
        <w:t>E. 3.2.1</w:t>
      </w:r>
    </w:p>
    <w:p>
      <w:r>
        <w:t>Dans le cadre d'une appréciation anticipée des preuves, le Tribunal peut renoncer à l'administration d'une preuve offerte, s'il appert qu'elle porte sur des considérations sans rapport avec le litige ou qu'elle n'est pas de nature à emporter la conviction, au vu du dossier à sa disposition(cf. art. 12 et 33 al. 1 PA ; ATF 131 I 153 consid. 3 et réf. cit.; arrêt du TAF A-5294/2013 du 25 mars 2014 consid. 4.2.1 ; Moser/Beusch/Kneubühler, op. cit., n. 3.144 ; Candrian, op. cit., n. 61 p. 43 s.). Par ailleurs, en termes de moyens de preuves, l'audition de témoins apparaît comme subsidiaire. En effet, l'art. 14 al. 1 let. c PA spécifie que le Tribunal administratif fédéral peut ordonner l'audition de témoins si les faits ne peuvent pas être suffisamment élucidés d'une autre façon.</w:t>
      </w:r>
    </w:p>
    <w:p>
      <w:r>
        <w:rPr>
          <w:b/>
        </w:rPr>
        <w:t>E. 3.2.2</w:t>
      </w:r>
    </w:p>
    <w:p>
      <w:r>
        <w:t>En l'espèce, il convient d'emblée de relever que, au vu des questions soulevées par le présent litige, tant les auditions des six témoins requises expressément par la recourante, dont l'audition du Dr B._______ requise également par l'autorité inférieure, qu'une expertise et la production de la pièce 51 du bordereau de pièces de la recourante paraissent superflues. Il s'avère en effet que les faits juridiquement pertinents permettant de déterminer les motifs à l'appui desquels le contrat de travail de la recourante a été résilié, respectivement s'ils sont ou non justifiés ou abusifs, ressortent de manière suffisamment claire des écritures des parties et des pièces produites dont le Tribunal dispose déjà.</w:t>
      </w:r>
    </w:p>
    <w:p>
      <w:r>
        <w:rPr>
          <w:b/>
        </w:rPr>
        <w:t>E. 4</w:t>
      </w:r>
    </w:p>
    <w:p>
      <w:r>
        <w:t>Le cadre juridique applicable est le suivant.</w:t>
      </w:r>
    </w:p>
    <w:p>
      <w:r>
        <w:rPr>
          <w:b/>
        </w:rPr>
        <w:t>E. 4.1</w:t>
      </w:r>
    </w:p>
    <w:p>
      <w:r>
        <w:t>En l'occurrence, les parties ont conclu un contrat de travail de durée indéterminée daté du 20 janvier 2021 dans le cadre de la CCT 2019, entrée en vigueur le 1er mai 2019 et demeurant valable jusqu'au 30 avril 2022. La loi sur le personnel de la Confédération régit les rapports de travail entre la Confédération et son personnel (cf. art. 1 LPers). Elle s'applique également au personnel des CFF (cf. art. 15 al. 1 de la loi du 20 mars 1998 sur les Chemins de fer fédéraux [LCFF, RS 742.31] et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successivement conclues, dont la dernière (CCT 2019) est entrée en vigueur le 1er mai 2019. La CCT 2019 est une convention de droit public (cf. art. 1 al. 1 CCT 2019). Le Code des obligations du 30 mars 1911 (CO, RS 220) est applicable à titre subsidiaire (cf. art. 1 al. 3 CCT 2019 En vertu de l'art. 6 al. 3 LPers, la CCT 2019 (art. 38 al. 1 et 2 LPers) et le contrat individuel de travail (art. 8 al. 1 LPers) règlementent en détail les rapports de travail dans les limites de l'art. 6 al. 2 LPers. En revanche, l'ordonnance du 3 juillet 2001 sur le personnel de la Confédération (OPers, RS 172.220.111.3) ne régit pas les rapports de travail des employés des CFF.</w:t>
      </w:r>
    </w:p>
    <w:p>
      <w:r>
        <w:rPr>
          <w:b/>
        </w:rPr>
        <w:t>E. 4.2.1</w:t>
      </w:r>
    </w:p>
    <w:p>
      <w:r>
        <w:t>Conformément aux art. 10 al. 3 et 13 LPers et à l'art. 170 CCT 2019, après le temps d'essai, le contrat de durée indéterminée peut être résilié par chacune des parties, pour la fin d'un mois, en respectant la forme écrite et le délai de congé minimal selon l'art. 174 al. 2 CCT 2019. Les art. 10 al. 3 LPers et 173 al. 1 CCT 2019 spécifient que l'employeur doit faire valoir un motif objectif et suffisant pour résilier un contrat de durée indéterminée. Ces mêmes alinéas contiennent une énumération exemplative de semblables motifs, notamment des violations d'obligations légales ou contractuelles et des manquements dans les prestations ou le comportement (art. 10 al. 3 let. a et b LPers et art. 173 al. 1 let. a et b CCT 2019). Les exigences ont dès lors été assouplies par rapport à l'ancien droit, où l'employeur devait faire valoir l'un des motifs exhaustivement prévus par l'art. 12 al. 6 aLPers. Cela étant, l'exigence d'un motif de résiliation perdure sous le nouveau droit, motif qui, comme précédemment, doit pouvoir être juridiquement reconnu tout à la fois objectif et suffisant (cf. arrêts du TAF A-448/2020 du 2 août 2021 consid. 6.1, A-2663/2017 du 14 mars 2018 consid. 3.2, A-2667/2016 du 21 mars 2017 consid. 3).</w:t>
      </w:r>
    </w:p>
    <w:p>
      <w:r>
        <w:rPr>
          <w:b/>
        </w:rPr>
        <w:t>E. 4.2.2</w:t>
      </w:r>
    </w:p>
    <w:p>
      <w:r>
        <w:t>Durant la procédure d'engagement, les parties sont déjà tenues à des devoirs précontractuels. Certes, en vertu du principe de la liberté contractuelle, chaque partie est libre d'entamer une négociation et de l'interrompre quand elle le veut, même sans justification. L'exercice de cette liberté est toutefois limité par les règles de la bonne foi (cf. arrêt TF 4A_71/2019 du 8 octobre 2019 consid. 3.1 ; Paul-Henri Steinauer, Le Titre préliminaire du Code civil, 2009, n. 549 p. 203). Il découle de ce qui précède que le processus de recrutement est couvert par ce principe de la bonne foi, qui commande également aux parties négociant un contrat de ne pas se mettre mutuellement dans l'erreur. Dans le cas concret d'une procédure d'embauche, le respect de la bonne foi impose notamment aux candidats de répondre conformément à la vérité à toute question licite et pertinente (cf. arrêt du TAF A-5849/2009 du 1er juillet 2010 consid. 2.5). D'éventuelles violations de ce principe correspondent à l'institution de la culpa in contrahendo, aussi nommée violation des devoirs précontractuels. Le candidat doit ainsi donner à l'employeur tous les éléments de fait qui sont essentiels pour la conclusion du contrat (cf. arrêt du TAF A-248/2021 du 27 septembre 2021 consid. 4.4.2).</w:t>
      </w:r>
    </w:p>
    <w:p>
      <w:r>
        <w:rPr>
          <w:b/>
        </w:rPr>
        <w:t>E. 4.2.3</w:t>
      </w:r>
    </w:p>
    <w:p>
      <w:r>
        <w:t>Au cours de l'exécution du contrat de travail, parmi ses obligations contractuelles professionnelles les plus importantes, l'employé doit exécuter le travail qui lui est confié avec soin, fidèlement et dans l'intérêt de l'employeur. Cette obligation se traduit par le devoir général de diligence et de fidélité, à la base de la relation de confiance liant les parties (cf. Thomas Geiser/Roland Müller, Arbeitsrecht in der Schweiz, 3e éd., 2015, no 348 ss). Le devoir général de diligence et de fidélité des employés de la Confédération est réglé à l'art. 20 al. 1 LPers (cf. Jérôme Candrian, La double pertinence du principe de la bonne foi dans l'exécution des contrats de travail conclus par la Confédération, in : Boillet/Favre/Largey/Martenet, La contractualisation en droit public, Zurich 2021, p. 123). En vertu de cette disposition, l'employé est tenu d'exécuter avec soin le travail qui lui est confié et de défendre les intérêts légitimes de la Confédération et de son employeur. Le devoir de diligence lui impose d'accomplir ses tâches avec soin, au mieux des intérêts de son employeur, et de s'abstenir de tout comportement inadapté ou malhonnête (cf. arrêts du TAF A-448/2020 du 2 août 2021 consid. 6.1.1, A-4047/2018 du 23 décembre 2019 consid. 7.3 et A-3148/2017 du 3 août 2018 consid. 7.1.3 ; Peter Helbling, in : Handkommentar zum Bundespersonalgesetz, 2013, art. 20 LPers no 41; Christian Favre/Charles Munoz/Rolf A. Tobler, Le contrat de travail - Code annoté, 2010, art. 321a CO no 1.1 ss). L'art. 36 al. 1 CCT 2019 règle, lui aussi, le devoir général de diligence et de loyauté. Les collaborateurs doivent sauvegarder les intérêts et la réputation des CFF, exécuter les travaux qui leur sont confiés selon les exigences spécifiques et la qualité requise, et traiter avec soin les instruments de travail mis à leur disposition. A défaut, en particulier en cas de comportement de mauvaise foi, il peut y avoir violation d'une obligation contractuelle importante au sens des art. 10 al. 3 let. a LPers et 173 al. 1 let. b CCT 2019.</w:t>
      </w:r>
    </w:p>
    <w:p>
      <w:r>
        <w:rPr>
          <w:b/>
        </w:rPr>
        <w:t>E. 4.2.4</w:t>
      </w:r>
    </w:p>
    <w:p>
      <w:r>
        <w:t>Quant à la notion de manquement dans le comportement - en tant qu'elle ne constitue pas une violation d'obligations au sens des art. 10 al. 3 let. a LPers et 173 al. 1 let. b CCT 2019 -, elle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TAF A-448/2020 précité consid. 6.1.4, A-1314/2020 du 8 juin 2020 consid. 5.3.1, A-5813/2016 du 12 avril 2018 consid. 6.1 et A-2667/2016 précité consid. 3.2.1 et les réf. cit.).</w:t>
      </w:r>
    </w:p>
    <w:p>
      <w:r>
        <w:rPr>
          <w:b/>
        </w:rPr>
        <w:t>E. 4.3</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w:t>
      </w:r>
    </w:p>
    <w:p>
      <w:r>
        <w:rPr>
          <w:b/>
        </w:rPr>
        <w:t>E. 5</w:t>
      </w:r>
    </w:p>
    <w:p>
      <w:r>
        <w:t>Il convient de déterminer si l'autorité avait un motif de résiliation fondé et si elle l'a correctement apprécié juridiquement.</w:t>
      </w:r>
    </w:p>
    <w:p>
      <w:r>
        <w:rPr>
          <w:b/>
        </w:rPr>
        <w:t>E. 5.1</w:t>
      </w:r>
    </w:p>
    <w:p>
      <w:r>
        <w:t>Les arguments qui divisent les parties sont les suivants.</w:t>
      </w:r>
    </w:p>
    <w:p>
      <w:r>
        <w:rPr>
          <w:b/>
        </w:rPr>
        <w:t>E. 5.1.1</w:t>
      </w:r>
    </w:p>
    <w:p>
      <w:r>
        <w:t>L'autorité inférieure estime, en substance, que le manque de transparence et d'honnêteté de la recourante en lien avec sa situation médicale est constitutif d'un mensonge. À cet égard, l'autorité inférieure reproche à la recourante d'avoir dissimulé, lors de son examen médical du 17 octobre 2021, qu'elle présentait une boiterie, qu'elle avait subi un accident à (...) le 31 décembre 2012 et qu'elle souffrait d'une maladie chronique dont elle avait connaissance depuis 2016, à savoir la maladie de Steinert. De plus, l'autorité inférieure reproche à la recourante de ne pas avoir rempli de manière correcte le questionnaire médical d'entrée, intitulé « Examen d'aptitude médicale pour l'admission aux activités déterminantes pour la sécurité dans le domaine ferroviaire ». Au vu de l'activité professionnelle d'assistante clientèle CFF, l'autorité inférieure souligne que les problèmes de santé de la recourante constituent des informations importantes qu'elle aurait dû signaler au médecin qui l'a examinée et dans le questionnaire médical susmentionné. Ensuite, l'autorité inférieure reproche à la recourante d'avoir donné de fausses informations concernant la date de l'accident dont elle a été victime. L'autorité inférieure soupçonne la recourante d'avoir dissimulé ses problèmes de santé et le moment exact de l'accident à (...) pour ne pas compromettre ses chances d'obtenir le poste d'assistante clientèle CFF pour lequel elle postulait. Elle retient enfin que la recourante a persisté dans sa dissimulation après son entrée en service. Sur cette base, l'autorité inférieure invoque la rupture définitive du lien de confiance qui la liait à la recourante.</w:t>
      </w:r>
    </w:p>
    <w:p>
      <w:r>
        <w:rPr>
          <w:b/>
        </w:rPr>
        <w:t>E. 5.1.2</w:t>
      </w:r>
    </w:p>
    <w:p>
      <w:r>
        <w:t>La recourante, quant à elle, considère que les reproches qui lui sont adressés sont infondés. Elle relève d'abord que sa « légère boiterie » était « parfaitement perceptible » en octobre 2019. En effet, sa cheville ne se serait jamais totalement résorbée depuis l'accident et, depuis lors, sa démarche serait différente. Elle fait en outre valoir que sa boiterie ne nécessitait en aucun cas d'être mentionnée dans le questionnaire de santé puisque cette affection n'entrainait aucun contrôle périodique chez un médecin ni aucune prise de médicaments. Ainsi, au vu de la formulation du « trouble de la santé actuel » tel qu'il ressort des instructions données par l'employeur pour remplir le questionnaire de santé, la boiterie dont elle souffre n'entrerait pas dans cette définition. Il en va de même s'agissant de sa maladie chronique. La recourante relève que son licenciement serait en réalité fondé sur les révélations du Dr B._______ relatives à sa maladie chronique, pourtant sans effet sur sa capacité de travail. Enfin, ces révélations seraient dans tous les cas constitutives d'une preuve obtenue de manière illicite. La recourante indique encore que l'incompréhension relative à la date de l'accident qu'elle a subi à (...) relèverait d'un malentendu et elle peine à comprendre les raisons qui auraient pu la pousser à mentir sur cette date. En résumé, selon la recourante, la boiterie était perceptible au moment de son examen médical et de son entretien d'embauche. En outre, la mention de ladite boiterie et de la maladie chronique n'était pas requise dans le questionnaire de santé litigieux. Finalement, sa maladie chronique ne pouvait en aucun cas servir de fondement à la résiliation de son contrat de travail, dans la mesure où il s'agirait d'une preuve obtenue de manière illicite.</w:t>
      </w:r>
    </w:p>
    <w:p>
      <w:r>
        <w:rPr>
          <w:b/>
        </w:rPr>
        <w:t>E. 5.2.1</w:t>
      </w:r>
    </w:p>
    <w:p>
      <w:r>
        <w:t>À titre liminaire, le Tribunal relève que la recourante présentait certes une boiterie à la marche avant son entretien d'embauche du 1er octobre 2019 et son examen de santé du 17 octobre 2019. Le Tribunal ne voit toutefois pas pourquoi les recruteurs et les médecins ayant examiné la recourante, s'ils s'étaient aperçus de ses difficultés à la marche, ne l'auraient pas interrogée à ce sujet immédiatement. Le fait que la recourante présentait une boiterie depuis son accident à (...) en fin 2012 / début 2013 ne s'oppose pas à ce que cette même boiterie n'était pas apparue à son employeur durant son entretien d'embauche et son examen médical.</w:t>
      </w:r>
    </w:p>
    <w:p>
      <w:r>
        <w:rPr>
          <w:b/>
        </w:rPr>
        <w:t>E. 5.2.2</w:t>
      </w:r>
    </w:p>
    <w:p>
      <w:r>
        <w:t>Le Tribunal retient ensuite que, dans leur processus de recrutement pour les activités professionnelles déterminantes pour la sécurité dans le domaine ferroviaire - dont l'activité d'assistante clientèle fait partie -, les CFF évaluent les aptitudes des candidats à exercer le travail concerné. En l'occurrence, l'autorité inférieure justifie l'examen de la santé de ses futurs collaborateurs par le fait que l'activité d'assistante clientèle nécessite en particulier une série d'aptitudes physiques, dans la mesure où ce métier s'exerce essentiellement debout avec des déplacements dans des véhicules en mouvement. En outre, elle indique que l'activité d'assistante clientèle demande de pouvoir se déplacer dans des faisceaux de voies et dans le ballast. Elle précise toutefois que le contrôle médical est limité aux questions pertinentes pour la relation de travail particulière. Ainsi, il permet d'établir si les exigences de santé pour le poste en question sont remplies. Finalement, l'autorité inférieure indique que l'examen d'aptitude médicale lui permet de vérifier si elle peut dûment remplir son devoir de diligence à l'égard de ses futurs collaborateurs.</w:t>
      </w:r>
    </w:p>
    <w:p>
      <w:r>
        <w:rPr>
          <w:b/>
        </w:rPr>
        <w:t>E. 5.2.2.1</w:t>
      </w:r>
    </w:p>
    <w:p>
      <w:r>
        <w:t>A cet égard, la recourante a expliqué à plusieurs reprises ne pas avoir transmis les informations relatives à sa boiterie et à sa maladie chronique car celles-ci n'avaient aucun lien avec le poste à pourvoir. Par ailleurs, dans ses différentes écritures, la recourante a affirmé que, sur la base des instructions qu'elle avait reçues à l'appui du questionnaire de santé, elle n'était pas tenue de révéler sa boiterie ou sa maladie chronique, dans la mesure où ces affections ne nécessitaient aucun contrôle périodique ni aucune prise de médicaments.</w:t>
      </w:r>
    </w:p>
    <w:p>
      <w:r>
        <w:rPr>
          <w:b/>
        </w:rPr>
        <w:t>E. 5.2.2.2</w:t>
      </w:r>
    </w:p>
    <w:p>
      <w:r>
        <w:t>L'autorité inférieure, quant à elle, estime qu'il n'appartenait pas à la recourante de décider si les problèmes de santé qu'elle connaissait étaient pertinents ou non pour définir sa capacité de travail. Dans la mesure où Health &amp; Medical n'a pas eu connaissance de tous les éléments déterminants relatifs à la santé de la recourante, l'employeur considère que l'évaluation ne pouvait être exhaustive. En outre, il a indiqué que s'il avait eu connaissance des problèmes de santé de la recourante, il est probable que celle-ci ne se serait pas vu octroyer le poste d'assistante clientèle. L'employeur soupçonne ainsi la recourante de ne pas avoir été transparente au sujet de son état de santé pour ne pas entraver sa candidature au poste d'assistante clientèle. Dans ces circonstances, l'autorité inférieure invoque le fait que le rapport de confiance qui la liait à la recourante a été rompu.</w:t>
      </w:r>
    </w:p>
    <w:p>
      <w:r>
        <w:rPr>
          <w:b/>
        </w:rPr>
        <w:t>E. 5.2.3</w:t>
      </w:r>
    </w:p>
    <w:p>
      <w:r>
        <w:t>Sur ce vu, la Cour de céans considère ce qui suit.</w:t>
      </w:r>
    </w:p>
    <w:p>
      <w:r>
        <w:rPr>
          <w:b/>
        </w:rPr>
        <w:t>E. 5.2.3.1</w:t>
      </w:r>
    </w:p>
    <w:p>
      <w:r>
        <w:t>En premier lieu, il convient de relever que l'examen de santé des collaborateurs des CFF revêt une place essentielle dans leur processus de recrutement. A ce titre, le Tribunal souligne le fait que, sous la rubrique « Accords particuliers » du contrat de travail du 20 janvier 2021 (ch. 11), à la page 2, le contrat précise que : « La collaboratrice exerçant une activité déterminante pour la sécurité est tenue d'annoncer immédiatement au cadre dirigeant toute atteinte à sa santé susceptible de compromettre l'aptitude à la conduite ou la sécurité de l'exploitation ». Au vu de l'importance du contrôle médical dans le cadre de la procédure d'embauche en lien avec l'activité d'assistante clientèle, laquelle est soumise au degré d'exigence 3, et des instructions reçues pour remplir le formulaire, la recourante avait l'obligation de remplir de manière fidèle et complète le questionnaire de santé d'entrée. Les indications sciemment contraires à la réalité fournies par la recourante au cours du processus de recrutement sont constitutives d'un mensonge. Le Tribunal retient ainsi que, par la dissimulation de ses problèmes de santé, susceptibles d'avoir une incidence sur son travail, la recourante a contrevenu à son devoir de loyauté précontractuel. La découverte des problématiques médicales dont elle souffre a permis de mettre en lumière les éléments que cette dernière avait jusque-là tus à son employeur. Or lesdites informations revêtaient une importance capitale dans la constitution du rapport de travail, ce que la recourante ne pouvait ignorer. Il sied ainsi de retenir que la boiterie et la maladie chronique de la recourante n'apparaissent pas être le motif de résiliation des rapports de travail. Au contraire, il découle des éléments du dossier que, par ses déclarations mensongères sur des éléments déterminants du contrat au moment de son engagement, la recourante a violé son devoir de loyauté précontractuel et a détruit définitivement les rapports de confiance appelés à la lier à son employeur. La violation des devoirs précontractuels est déjà suffisante comme motif de résiliation sur la base de l'art. 173 al. 1 let. a CCT 2019.</w:t>
      </w:r>
    </w:p>
    <w:p>
      <w:r>
        <w:rPr>
          <w:b/>
        </w:rPr>
        <w:t>E. 5.2.3.2</w:t>
      </w:r>
    </w:p>
    <w:p>
      <w:r>
        <w:t>Le Tribunal constate encore qu'au cours de l'exécution de son contrat, la recourante a également violé ses devoirs contractuels. En effet, les déclarations de cette dernière au sujet du moment de l'accident à (...) sont confuses et les dates avancées ont été modifiées à plusieurs reprises. A ce titre, la Cour de céans relève que lorsque l'employeur a perçu pour la première fois les difficultés de marche de la recourante à l'occasion de son premier jour de travail le 2 mars 2020, il l'a invitée à lui expliquer la situation. La recourante a alors indiqué avoir eu un accident à (...) aux Etats-Unis entre le jour de son entretien d'embauche le 1er octobre 2019 et le début de son engagement. En date du 9 septembre 2020, lors d'un entretien avec son supérieur, elle a confirmé que sa boiterie était apparue des suites d'un accident qui s'était produit entre le jour de son entretien et le début de son engagement. Le 6 janvier 2021, elle a toutefois déclaré lors d'un entretien avec deux de ses supérieurs hiérarchiques que l'accident ayant causé sa boiterie avait eu lieu à (...) en 2013, déclarations qu'elle a toutefois modifiées lors d'un entretien du 30 janvier 2021, annonçant que l'accident avait eu lieu en 2012. Le Tribunal note que le moment auquel la recourante s'est blessée à la cheville jouait un rôle dans le cadre de son examen médical d'entrée. En effet, en fonction de la date de l'accident, la recourante aurait dû le mentionner dans le questionnaire médical durant le recrutement. Dans la mesure où un accident antérieur à la procédure de candidature aurait potentiellement pu affecter sa capacité de travail et son aptitude lors de l'examen médical, l'autorité inférieure était en droit de connaître la date exacte à laquelle la recourante s'était blessée. Dès lors, il peut être retenu que la recourante a persisté, en cours d'exécution du contrat de travail, dans ses mensonges à propos d'informations importantes en lien avec son état de santé, violant sous cet angle également ses obligations contractuelles au titre de l'art. 173 al. 1 let. a CCT 2019.</w:t>
      </w:r>
    </w:p>
    <w:p>
      <w:r>
        <w:rPr>
          <w:b/>
        </w:rPr>
        <w:t>E. 5.2.4</w:t>
      </w:r>
    </w:p>
    <w:p>
      <w:r>
        <w:t>Au vu des considérants qui précèdent, et eu égard aussi à la réserve dont le Tribunal fait preuve dans l'appréciation du rapport de confiance (cf. supra consid. 2.1), il ne peut être reproché à l'autorité inférieure d'avoir considéré que le lien de confiance avec la recourante était définitivement et irrémédiablement rompu. Par conséquent, l'autorité inférieure disposait de justes motifs au sens de l'art. 10 al. 4 LPers et de l'art. 173 al. 1 let. a CCT 2019 pour résilier les rapports de travail de la recourante. Le fait que, dans sa motivation juridique, l'autorité inférieure se soit fondée, à tort, sur l'art. 173 al. 1 let. b CCT 2019 ne saurait prêter à conséquence. En résumé, le Tribunal de céans retient que, par ses déclarations mensongères sur des éléments essentiels du contrat, la recourante a contrevenu à son devoir de loyauté précontractuel et détruit définitivement tout rapport de confiance la liant à son employeur. En effet, la recourante a empêché son futur employeur d'évaluer son aptitude physique à exercer une activité déterminante pour la sécurité ferroviaire. Dans la mesure où la recourante a notamment obtenu son engagement auprès des CFF sur la base d'un mensonge, aucune confiance ne pouvait ensuite lui être accordée, d'autant plus qu'elle a persisté après son engagement à dissimuler les circonstances de son invalidité. Au surplus, la Cour de céans relève que le fait allégué que la maladie chronique et la boiterie de la recourante n'aient pas d'effet sur sa capacité de travail et sur son aptitude n'est pas déterminant. En effet, le licenciement de la recourante est fondé sur ses déclarations fallacieuses.</w:t>
      </w:r>
    </w:p>
    <w:p>
      <w:r>
        <w:rPr>
          <w:b/>
        </w:rPr>
        <w:t>E. 5.3</w:t>
      </w:r>
    </w:p>
    <w:p>
      <w:r>
        <w:t>La recourante reproche encore à l'autorité inférieure d'avoir renoncé à l'exigence de menace de licenciement prévu par l'art. 170 al. 4 CCT 2019. En omettant de procéder à un avertissement, l'autorité inférieure violerait la CTT 2019. Pour sa part, l'autorité inférieure relève que, dans la mesure où la relation de confiance qui la liait à la recourante a été définitivement rompue, une menace de résiliation n'aurait pas permis de rétablir ce lien de confiance.</w:t>
      </w:r>
    </w:p>
    <w:p>
      <w:r>
        <w:rPr>
          <w:b/>
        </w:rPr>
        <w:t>E. 5.3.1</w:t>
      </w:r>
    </w:p>
    <w:p>
      <w:r>
        <w:t>Sous l'ancien droit du personnel, en vigueur jusqu'au 1er juillet 2013, la loi précisait que la résiliation ordinaire donnée en raison de manquements répétés ou persistants dans les prestations de l'employé (art. 12 al. 6 let b aLPers) devait être précédée d'un avertissement écrit émanant de l'employeur (cf. arrêts du Tribunal fédéral [ci-après : TF] 1C_245/2008 du 2 mars 2009 consid. 5.4, 1C_277/2007 du 30 juin 2008 consid. 5.3; arrêt du TAF A-2667/2016 précité consid. 3.3.3). Dorénavant, l'art. 10 al. 3 LPers ne fait plus mention de la nécessité d'un avertissement préalable à une résiliation des rapports de travail en raison d'un motif objectivement suffisant. Cependant,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(cf. arrêts du TAF A-6428/2015 du 26 avril 2016 consid. 5.3, A-6723/2013 du 28 janvier 2015 consid. 6.2 ; Message du Conseil fédéral du 31 août 2011 concernant une modification de la loi sur le personnel de la Confédération, FF 2011 6171, 6183). Ensuite, l'art. 170 al. 4 CCT 2019 prévoit que, si les CFF résilient les rapports de travail après le temps d'essai, la résiliation ordinaire doit être précédée d'une menace de résiliation, pour autant que cette mesure soit en principe appropriée pour atteindre une amélioration des prestations ou du comportement (cf. art. 46 al. 10 CCT 2019). Aux termes de l'art. 171 al. 3 CCT 2019, la menace de résiliation devient caduque après une année. Il découle de la jurisprudence que l'attitude d'un employé peut rendre superflu un avertissement préalable au licenciement (cf. p. ex. arrêt du TF 4A_167/2009 du 10 juin 2009). En particulier, l'exigence d'un avertissement préalable ne s'applique plus si la relation de confiance est irrémédiablement rompue (cf. ATF 143 II 443 consid. 7.5 ; cf. également HÄFELIN/MÜLLER/UHLMANN, Allgemeines Verwaltungsrecht, 8e éd., 2020, n° 2018, p. 453).</w:t>
      </w:r>
    </w:p>
    <w:p>
      <w:r>
        <w:rPr>
          <w:b/>
        </w:rPr>
        <w:t>E. 5.3.2</w:t>
      </w:r>
    </w:p>
    <w:p>
      <w:r>
        <w:t>En l'espèce, l'attitude de la recourante - laquelle a en particulier rempli le questionnaire de santé de manière erronée, n'a pas révélé d'importants éléments en lien avec son état de santé à son employeur et a fourni de fausses informations concernant la date de l'accident à (...), puis a persisté dans sa dissimulation une fois entrée en fonction - était de nature à rompre irrémédiablement le rapport de confiance avec l'employeur. Le Tribunal relève qu'un avertissement n'était pas nécessaire compte tenu du caractère définitif de la rupture de ce lien, de surcroît dès les rapports précontractuels. Une menace de résiliation ne lui aurait pas permis de renouer ce lien et se serait révélée superflue. Dans de telles circonstances, la jurisprudence admet d'un avertissement n'est pas indispensable (cf. ATF 143 II 443 consid. 7.5 ; arrêts du TAF A-5307/2018 du 18 juin 2019 consid. 6.6.2, A-5059/2018 du 24 avril 2019 consid. 6.1, A-169/2018 du 23 janvier 2019 consid. 4.3). Il en découle qu'il ne peut être reproché à l'autorité inférieure de ne pas avoir adressé de menace de résiliation à la recourante.</w:t>
      </w:r>
    </w:p>
    <w:p>
      <w:r>
        <w:rPr>
          <w:b/>
        </w:rPr>
        <w:t>E. 6</w:t>
      </w:r>
    </w:p>
    <w:p>
      <w:r>
        <w:t>La recourante prétend encore que la résiliation était abusive et que l'autorité inférieure lui aurait donné son congé pour éviter de devoir assumer les conséquences financières en cas d'invalidité résultant de sa maladie chronique.</w:t>
      </w:r>
    </w:p>
    <w:p>
      <w:r>
        <w:rPr>
          <w:b/>
        </w:rPr>
        <w:t>E. 6.1.1</w:t>
      </w:r>
    </w:p>
    <w:p>
      <w:r>
        <w:t>À l'appui de son grief, elle allègue que, lors d'un entretien en présence de l'un de ses supérieurs hiérarchique et d'un représentant du syndicat des CFF, il lui aurait été expliqué que l'employeur voulait éviter de devoir lui payer deux ans de salaire en cas d'invalidité. En résumé, la maladie chronique dont elle est atteinte serait en réalité le vrai motif de résiliation. Les reproches formulés à son encontre ne seraient ainsi qu'un prétexte. Il en découlerait que le congé litigieux serait abusif. La recourante relève ensuite que les renseignements relatifs à sa maladie chronique ne peuvent en aucun cas servir de fondement à la résiliation de son contrat de travail, dans la mesure où il s'agirait de preuves obtenues de manière illicite. À ce propos, la recourante reproche au Dr B._______ d'avoir communiqué un diagnostic médical à l'employeur alors qu'elle l'avait uniquement autorisé à évaluer sa capacité de travail. Puisque le Dr B._______ aurait révélé à son employeur la maladie chronique dont elle souffre sans son accord et qu'il aurait soutenu qu'il y aurait un risque de morbidité et d'invalidité, il aurait agi en violation du secret professionnel. La recourante invoque par ailleurs que le Dr B._______ et Health &amp; Medical ne sont pas déliés du secret médical à l'égard de ses supérieurs hiérarchiques dans la mesure où ces derniers ne sont ni médecins ni prestataires de services médicaux. Ainsi, les informations détaillées sur sa maladie chronique et les risques de morbidité et d'invalidité qui en découlent, transmises à ses supérieurs hiérarchiques relèveraient du secret médical.</w:t>
      </w:r>
    </w:p>
    <w:p>
      <w:r>
        <w:rPr>
          <w:b/>
        </w:rPr>
        <w:t>E. 6.1.2</w:t>
      </w:r>
    </w:p>
    <w:p>
      <w:r>
        <w:t>L'autorité inférieure précise que la décision de résiliation des rapports de travail n'a rien à voir avec la situation médicale de la recourante. Elle rappelle que le motif du licenciement de la recourante est la perte de confiance qu'elle avait placée en elle, en raison de ses fausses déclarations et de la dissimulation d'éléments importants dans le questionnaire de santé d'entrée (cf. consid. 5.1.1 et 5.2.2.2 supra). Finalement, l'autorité inférieure relève que le Dr B._______ n'a à aucun moment transmis des données sensibles ni un diagnostic médical. Au contraire, il n'aurait fourni que des renseignements portant sur la capacité de travail actuelle de la recourante en lien avec sa boiterie et l'évolution possible de celle-ci dans le futur. En outre, il aurait simplement indiqué à l'autorité inférieure que la recourante souffrait d'une maladie chronique.</w:t>
      </w:r>
    </w:p>
    <w:p>
      <w:r>
        <w:rPr>
          <w:b/>
        </w:rPr>
        <w:t>E. 6.2</w:t>
      </w:r>
    </w:p>
    <w:p>
      <w:r>
        <w:t>Le grief de la recourante s'avère mal fondé pour les raisons suivantes.</w:t>
      </w:r>
    </w:p>
    <w:p>
      <w:r>
        <w:rPr>
          <w:b/>
        </w:rPr>
        <w:t>E. 6.2.1</w:t>
      </w:r>
    </w:p>
    <w:p>
      <w:r>
        <w:t>En vertu de l'art. 34c al. 1 let. b LPers, auquel l'art. 14 al. 2 let. c LPers renvoie expressément, l'employeur propose à l'employé de le réintégrer dans l'emploi qu'il occupait ou, si cela est impossible, lui propose un autre travail pouvant raisonnablement être exigé de sa part, lorsque l'instance de recours admet le recours contre une décision de résiliation des rapports de travail parce que la résiliation était abusive en vertu de l'art. 336 CO. Dans un tel cas, la résiliation des rapports de travail est annulée.</w:t>
      </w:r>
    </w:p>
    <w:p>
      <w:r>
        <w:rPr>
          <w:b/>
        </w:rPr>
        <w:t>E. 6.2.1.1</w:t>
      </w:r>
    </w:p>
    <w:p>
      <w:r>
        <w:t>L'art. 336 CO contient une liste de situations constitutives d'abus. Cette liste n'est pas exhaustive, mais concrétise l'interdiction générale de l'abus de droit (art. 2 al. 1 du Code civil suisse du 10 décembre 1907 [CC, RS 210]), ici applicable à un rapport de droit public. D'autres situations constitutives de congés abusifs sont admises par la pratique, pour autant que la résiliation comporte une gravité comparable aux cas expressément mentionnés à l'art. 336 CO (cf. ATF 136 III 513 consid. 2.3). Il appartient à la partie congédiée de prouver le caractère abusif du congé (cf. ATF 130 III 369 consid. 4.1 ; arrêts du TAF A-2632/2020 du 5 août 2021 consid. 7.4.5, A-4913/2016 du 26 juillet 2017 consid. 5.1.2 et A-2846/2016 précité consid. 6).</w:t>
      </w:r>
    </w:p>
    <w:p>
      <w:r>
        <w:rPr>
          <w:b/>
        </w:rPr>
        <w:t>E. 6.2.1.2</w:t>
      </w:r>
    </w:p>
    <w:p>
      <w:r>
        <w:t>Le caractère abusif de la résiliation peut découler non seulement des motifs du congé, mais également de la manière dont la partie qui résilie exerce son droit, dans la mesure où - sur la base d'une appréciation d'ensemble des circonstances de l'espèce - cela conduit à la reconnaissance du caractère répréhensible d'un motif. Dans cet exercice, l'employeur doit en effet agir avec égard et jouer franc jeu. Une résiliation abusive peut aussi apparaître dans le cas où l'employeur porte une atteinte grave à la personnalité de l'employé ou adopte un comportement biaisé ou trompeur contrevenant de manière crasse au principe de la bonne foi. Il en va de même lorsque l'employeur exerce son droit de résiliation de manière inappropriée ou s'il existe une disproportion évidente entre les intérêts en jeu (ATF 136 III 513 consid. 2.3, 132 III 115 consid. 2.2 et 2.4 ; arrêts du TAF A-2632/2020 du 5 août 2021 consid. 7.4.4.2). Il est en revanche généralement admis que la résiliation n'est pas abusive du seul fait qu'elle est intervenue en l'absence de motifs objectivement suffisants au sens de l'art. 10 al. 3 LPers (cf. ATAF 2016/11 consid. 10.2).</w:t>
      </w:r>
    </w:p>
    <w:p>
      <w:r>
        <w:rPr>
          <w:b/>
        </w:rPr>
        <w:t>E. 6.2.2</w:t>
      </w:r>
    </w:p>
    <w:p>
      <w:r>
        <w:t>Le Tribunal retient que, contrairement à ce que la recourante soutient, rien ne permet d'affirmer que l'autorité inférieure aurait résilié ses rapports de travail en raison d'un motif pécuniaire dans le cas où une invalidité surviendrait. Au contraire, il ressort du dossier de la cause que le motif de la résiliation est la dissimulation par la recourante d'éléments importants en lien avec son état de santé, laquelle a durablement endommagé leur relation de confiance (cf. consid. 5.2.3 et 5.2.4 supra). Force est d'admettre l'absence de preuve du caractère abusif de la résiliation.</w:t>
      </w:r>
    </w:p>
    <w:p>
      <w:r>
        <w:rPr>
          <w:b/>
        </w:rPr>
        <w:t>E. 6.2.3</w:t>
      </w:r>
    </w:p>
    <w:p>
      <w:r>
        <w:t>Enfin, les questions de savoir si les preuves relatives à la maladie chronique de la recourante ont été obtenues de manière conforme au droit et si elles sont exploitables en justice peuvent demeurer ouvertes. En effet, les moyens de preuve litigieux, à savoir la divulgation de la maladie chronique et le fait que celle-ci ait connu une péjoration depuis 2016, tel qu'exposé par le Dr B._______ à l'autorité inférieure, n'ont pas joué un rôle déterminant dans la décision de l'autorité inférieure de mettre un terme aux rapports de travail qui la liait à la recourante. Dans la mesure où la prétendue évolution de la maladie chronique n'est pas pertinente en l'espèce, il n'y a aucune nécessité d'utiliser les preuves concernées. Comme le Tribunal l'a exposé ci-dessus (cf. consid. 5.2.3 et 5.2.4 supra), il apparaît que l'autorité inférieure a licencié la recourante non pas en raison de son état de santé, mais parce cette dernière a violé ses obligations précontractuelles et contractuelles de manière à rompre le lien de confiance qui les liait.</w:t>
      </w:r>
    </w:p>
    <w:p>
      <w:r>
        <w:rPr>
          <w:b/>
        </w:rPr>
        <w:t>E. 7</w:t>
      </w:r>
    </w:p>
    <w:p>
      <w:r>
        <w:t>De l'ensemble des considérants qui précèdent il suit que l'autorité inférieure a licencié à bon droit la recourante. Certes, l'autorité inférieure a fondé à tort sa décision sur la base de l'art. 173 al. 1 let. a CCT 2019. Il n'en découle toutefois aucune incidence. En effet, la recourante a adopté un comportement qui suffisait déjà à résilier les rapports de travail sur la base de l'art. 173 al. 1 let. b CCT 2019. Au surplus, la résiliation ne saurait être considérée comme abusive au sens de l'art. 336 CO. Il s'ensuit que le recours doit être rejeté au sens des considérants et la décision attaquée confirmée.</w:t>
      </w:r>
    </w:p>
    <w:p>
      <w:r>
        <w:rPr>
          <w:b/>
        </w:rPr>
        <w:t>E. 8</w:t>
      </w:r>
    </w:p>
    <w:p>
      <w:r>
        <w:t>Conformément à l'art. 34 al. 2 LPers, la procédure de recours est gratuite, de sorte qu'il n'est pas perçu de frais de procédure. Vu l'issue du litige, il n'y a pas lieu d'octroyer des dépens (art. 64 al. 4 PA et 7 ss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