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A-1453/2006 vom 24. Januar 2008</w:t>
      </w:r>
    </w:p>
    <w:p>
      <w:r>
        <w:t>Bundesverwaltungsgericht, 2008-01-24, DE</w:t>
      </w:r>
    </w:p>
    <w:p>
      <w:r>
        <w:rPr>
          <w:b/>
        </w:rPr>
        <w:t xml:space="preserve">Quelle: </w:t>
      </w:r>
      <w:r>
        <w:t>https://mcp.opencaselaw.ch/entscheid/bvger_A-1453_2006</w:t>
      </w:r>
    </w:p>
    <w:p>
      <w:r>
        <w:t>FR: TAF A-1453/2006 du 24 janvier 2008</w:t>
      </w:r>
    </w:p>
    <w:p>
      <w:r>
        <w:t>IT: TAF A-1453/2006 del 24 gennaio 2008</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1.3</w:t>
      </w:r>
    </w:p>
    <w:p>
      <w:r>
        <w:t>Die Beschwerde an die SRK bzw. an das Bundesverwaltungsgericht richtet sich vorliegend einzig gegen die Auferlegung der Kosten von Fr. 430.-- für das Verfahren vor der ESTV. Die Frage nach der Zulässigkeit des auf der Abrechnung angebrachten "generellen Vorbehalts", der den Beschwerdeführer vor jeglicher zukünftiger Änderung der Praxis, der Rechtsprechung und der Gesetzgebung schützen soll, bzw. die Frage, ob die ESTV zu Recht mangels Einhaltung der formellen Voraussetzungen auf die Einsprache nicht eingetreten ist, bildet demgegenüber grundsätzlich nicht Gegenstand der Beschwerde.</w:t>
      </w:r>
    </w:p>
    <w:p>
      <w:r>
        <w:rPr>
          <w:b/>
        </w:rPr>
        <w:t>E. 2.1</w:t>
      </w:r>
    </w:p>
    <w:p>
      <w:r>
        <w:t>Die Veranlagung und Entrichtung der Mehrwertsteuer erfolgen nach dem Selbstveranlagungsprinzip (Art. 46 f. des Bundesgesetzes vom 2. September 1999 über die Mehrwertsteuer [MWSTG, SR 641.20]; vgl. Ernst Blumenstein/Peter Locher, System des Steuerrechts, 6. Aufl., Zürich 2002, S. 421 ff.). Dies bedeutet, dass der Mehrwertsteuerpflichtige selbst und unaufgefordert über seine Umsätze und Vorsteuern abzurechnen und innerhalb von 60 Tagen nach Ablauf der Abrechnungsperiode den geschuldeten Mehrwertsteuerbetrag (Steuer vom Umsatz abzüglich Vorsteuern) an die ESTV abzuliefern hat. Die Verwaltung ermittelt die Höhe des geschuldeten Mehrwertsteuerbetrages nur dann an Stelle des Mehrwertsteuerpflichtigen, wenn dieser seinen Pflichten nicht nachkommt (Art. 60 MWSTG, Ermessenseinschätzung; vgl. Alois Camenzind/Niklaus Honauer/Klaus A. Vallender, Handbuch zum Mehrwertsteuergesetz [MWSTG], 2. Aufl., Bern 2003, Rz. 1680 ff.). Ein Verstoss des Mehrwertsteuerpflichtigen gegen diesen Grundsatz ist als schwerwiegend anzusehen, da durch die Nichteinhaltung dieser Vorschrift der Mehrwertsteuerpflichtige die ordnungsgemässe Erhebung der Mehrwertsteuer und damit das Steuersystem als solches gefährdet (vgl. Entscheide der SRK [zur Mehrwertsteuerverordnung] vom 18. September 1998, veröffentlicht in Verwaltungspraxis der Bundesbehörden [VPB] 63.80 E. 2a, vom 25. August 1998, veröffentlicht in VPB 63.27 E. 3a; vgl. auch den Entscheid der SRK vom 19. Mai 2004, veröffentlicht in VPB 68.131 E. 2b). Das Bundesverwaltungsgericht hat diese Rechtsprechung übernommen (Urteile des Bundesverwaltungsgerichts A-1377/2006 vom 20. März 2007 E. 2.2, A-1476/2006 und A-1492/2006 vom 26. April 2007 E. 4.2.1, A-1553/2006 und A-1554/2006 vom 26. September 2007 E. 2.4).</w:t>
      </w:r>
    </w:p>
    <w:p>
      <w:r>
        <w:rPr>
          <w:b/>
        </w:rPr>
        <w:t>E. 2.2</w:t>
      </w:r>
    </w:p>
    <w:p>
      <w:r>
        <w:t>Im Veranlagungs- und im Einspracheverfahren werden in der Regel keine Kosten erhoben und keine Parteientschädigungen ausgerichtet (Art. 68 Abs. 1 MWSTG); vom Grundsatz der Kostenlosigkeit wird jedoch dann abgewichen, wenn der Steuerpflichtige das Verfahren schuldhaft verursacht hat (vgl. Peter A. Müller-Stoll, mwst.com, Kommentar zum Bundesgesetz über die Mehrwertsteuer, Basel 2000, N. 3 zu Art. 68). Überdies sieht Art. 68 Abs. 2 MWSTG explizit vor, dass die Kosten von Untersuchungshandlungen ohne Rücksicht auf den Ausgang des Verfahrens derjenigen Partei auferlegt werden können, die sie schuldhaft verursacht hat. Ein Verfahren gilt als unnötigerweise verursacht, wenn ein Steuerpflichtiger seinen Mitwirkungspflichten nicht nachgekommen ist und beispielsweise ein Beweismittel, mithin die Mehrwertsteuerabrechnung, nicht oder zu spät, also erst im Verlaufe des Einsprache- oder Beschwerdeverfahrens, eingereicht hat (vgl. die Rechtsprechung zu Art. 63 Abs. 3 VwVG betreffend Auferlegung von Verfahrenskosten an eine obsiegende Partei: Entscheide der SRK vom 18. September 1998, veröffentlicht in VPB 63.80 E. 2c und 4c; vom 23. April 2003, veröffentlicht in VPB 67.123 E. 5b; vom 5. Januar 2000, veröffentlicht in VPB 64.83 E. 5b). Dieser Auffassung hat sich auch das Bundesverwaltungsgericht angeschlossen (Urteil A-1435/2006 und A-1584/2006 vom 20. Februar 2007 E. 2.1).</w:t>
      </w:r>
    </w:p>
    <w:p>
      <w:r>
        <w:rPr>
          <w:b/>
        </w:rPr>
        <w:t>E. 3</w:t>
      </w:r>
    </w:p>
    <w:p>
      <w:r>
        <w:t>Im vorliegenden Fall hat die ESTV in ihrem Nichteintretensentscheid, in welchem sie gleichzeitig die Unzulässigkeit des erhobenen Vorbehalts festgestellt hat (Ziff. 3 des Dispositivs), dem Beschwerdeführer in Anwendung von Art. 68 Abs. 1 MWSTG ausnahmsweise die Verfahrenskosten in Höhe von Fr. 430.-- auferlegt. Zur Begründung hat sie angeführt, kostenfrei seien behördliche Verfahren, die ein Steuerpflichtiger anstrenge, um eine ihn betreffende Regelung bzw. eine gegen ihn gerichtete Verfügung hinsichtlich ihrer Vereinbarkeit mit dem geltenden Recht überprüfen zu lassen. Zur Einleitung eines solchen Verfahrens bedürfe es der Bezeichnung und sachbezogenen Auseinandersetzung mit der infrage gestellten Norm respektive deren Auslegung. Eine "Bestreitung" oder "Einsprache", die diese an sie gestellten Minimalanforderungen nicht erfülle, sei nicht geeignet, dem den Steuerpflichtigen gesetzlich zugestandenen Recht auf behördliche Überprüfung eines Sachverhalts Rechnung zu tragen. Mit Nachfristansetzung vom 8. Februar 2005 habe sie den Beschwerdeführer aufgefordert, wahlweise die Einsprachebegründung zu verbessern oder sein Rechtsmittel zurückzuziehen. Darauf habe er jedoch nicht reagiert und mangels Vervollständigung resp. Rückzugs seiner Einsprache die Fortführung eines unnötigen - da bereits unter formellen Aspekten aussichtslosen - Verwaltungsverfahrens verschuldet. Auch wenn sich der Beschwerdeführer grundsätzlich einzig gegen die Auflage der Verfahrenskosten wendet, ist zur Beantwortung der Frage, ob das Verfahren vor der ESTV als unnötig und von ihm verschuldet zu betrachten ist, vorab zu prüfen, ob die Verwaltung in verfahrensrechtlicher Hinsicht überhaupt rechtmässig gehandelt hat.</w:t>
      </w:r>
    </w:p>
    <w:p>
      <w:r>
        <w:rPr>
          <w:b/>
        </w:rPr>
        <w:t>E. 3.1</w:t>
      </w:r>
    </w:p>
    <w:p>
      <w:r>
        <w:t>Der Beschwerdeführer hat in seiner Abrechnung für das 1. Quartal 2004 folgenden Vermerk angebracht: "Die vorliegende Abrechnung wurde aufgrund der gesetzlichen Grundlagen und der bis heute veröffentlichten und uns bekannten Rechtsprechung erstellt. Gegen eine allfällige Änderung der Rechtsprechung oder der gesetzlichen Grundlagen wird ein genereller Vorbehalt angebracht." Daraufhin hat die ESTV einen Feststellungsentscheid erlassen und die Steuerschuld gemäss der eingereichten Abrechnung - unter Vorbehalt einer Kontrolle - bestätigt; zudem hat sie erwogen, dass ein derartiger "genereller Vorbehalt" nicht gültig sei. Art. 63 Abs. 1 Bst. f MWSTG sieht - im Rahmen der Steuererhebung - den Erlass eines Feststellungsentscheids von Amtes wegen vor, wenn für einen bestimmten Fall vorsorglich die amtliche Feststellung der Steuerpflicht, der Steuerschuld, des Anspruchs auf Vorsteuerabzug, der Grundlagen der Steuerbemessung, des anwendbaren Steuersatzes oder der Mithaftung geboten erscheint. Gegenstand einer Feststellungsverfügung können dabei nur die konkreten, sich aus einem hinreichend festgelegten Sachverhalt ergebenden Rechte und Pflichten sein (Urteil des Bundesgerichts 2A.150/2001 vom 13. Februar 2002 E. 2b). Man könnte sich allenfalls fragen, ob die ESTV unter den gegebenen Umständen überhaupt einen (Feststellungs-)Entscheid hätte erlassen dürfen. Dies kann indes vorliegend offenbleiben. Zum einen bildet der vom Beschwerdeführer erhobene "generelle Vorbehalt" nicht Streitgegenstand und zum anderen hat die ESTV im erwähnten Feststellungsentscheid explizit auf das Einspracherecht verwiesen. Da sich ferner auch nicht die Frage nach der Vorrangigkeit eines Leistungsentscheids stellt, konnte es dem Beschwerdeführer nicht verwehrt sein, von diesem Einspracherecht Gebrauch zu machen (vgl. zum Ganzen auch Urteil des Bundesverwaltungsgerichts A-1450/2006 vom 24. Januar 2008 E. 3.1.1).</w:t>
      </w:r>
    </w:p>
    <w:p>
      <w:r>
        <w:rPr>
          <w:b/>
        </w:rPr>
        <w:t>E. 3.2</w:t>
      </w:r>
    </w:p>
    <w:p>
      <w:r>
        <w:t>Der Auffassung der ESTV, wonach die Einsprache des Beschwerdeführers nicht hinreichend konkretisiert sei und deshalb darauf nicht eingetreten werden könne, kann nicht gefolgt werden. Die Eingabe enthält ein Begehren (Abänderung der Ziff. 1 des Dispositivs der angefochtenen Entscheide) sowie eine Begründung, die sich mit dem von ihm erhobenen "generellen Vorbehalt" auseinandersetzt (vgl. Art. 64 Abs. 3 MWSTG, Art. 52 VwVG). Der Beschwerdeführer hat den Vorbehalt denn auch auf einer spezifischen Abrechnung mit einem ganz bestimmten Steuerbetrag angebracht, welchen er auch bezahlt hat. Sein Vorbehalt richtet sich ausschliesslich gegen diesen Betrag, der im Zusammenhang mit konkreten Gesetzesbestimmungen steht. Zweifellos ist dieser Vorbehalt generell, aber der Beschwerdeführer hält - bezogen auf eine ganz bestimmte Forderung - unmissverständlich dafür, dass ein solcher "genereller Vorbehalt" gültig sei. Der Streitgegenstand bildete demnach die Frage, welche Wirkungen der genannte Vorbehalt hat. Der konkrete und individuelle Charakter, wie er nach der bundesgerichtlichen Rechtsprechung verlangt wird, ist vorliegend ungeachtet der Tatsache, dass es sich um einen Feststellungsentscheid gemäss Art. 63 Abs. 1 Bst. f MWSTG handelt, gegeben (BGE 123 II 16 E. 2b in fine) und der Beschwerdeführer war freilich zur Ansicht berechtigt, ein weiter gefasster Vorbehalt als von der ESTV anerkannt sei zulässig. Der Beschwerdeführer wollte mit seiner Einsprache erreichen, dass ein "genereller Vorbehalt" auf der Abrechnung, mit Bezug auf einen konkreten Sachverhalt, als zulässig erachtet wird. Er war berechtigt, dies geltend zu machen, ohne dass er mit Nichteintretensfolgen rechnen musste. Folglich war es auch von vornherein nicht zulässig, dass die ESTV mittels Nachfristansetzung eine eingehendere Einsprache verlangt (bzw. auf die Möglichkeit des Rückzugs der Einsprache hingewiesen) und diesbezüglich das Nichteintreten im Säumnisfall angedroht hat.</w:t>
      </w:r>
    </w:p>
    <w:p>
      <w:r>
        <w:rPr>
          <w:b/>
        </w:rPr>
        <w:t>E. 3.3</w:t>
      </w:r>
    </w:p>
    <w:p>
      <w:r>
        <w:t>Die ESTV hätte demnach - ohne Nachfristansetzung - auf die Einsprache eintreten und einen materiellen Entscheid hinsichtlich des erhobenen "generellen Vorbehalts" treffen müssen; der Beschwerdeführer hätte nämlich die Möglichkeit haben müssen, seine Sichtweise zum erklärten Vorbehalt gegebenenfalls auch von der Beschwerdeinstanz materiell beurteilen zu lassen. Andernfalls könnte diese bezüglich der Frage nach der erforderlichen Form des Vorbehalts zwangsläufig gar nicht auf die Sache eintreten (BGE 123 V 335, BGE 118 Ib 134 E. 2; s. auch Urteil des Bundesgerichts 2A.283/2002 vom 10. Juni 2002 E. 2). Für die vorliegend umstrittene Frage der Auflage der Verfahrenskosten ergibt sich somit, dass die ESTV bei der Beurteilung den rechtserheblichen Sachverhalt nicht korrekt gewürdigt hat. Man könnte sich mithin fragen, ob die Beschwerde nicht gutgeheissen und die Sache an die ESTV zurückgewiesen werden müsste, damit diese einen neuen, materiellen Entscheid (einschliesslich Verfahrenskosten) fällt, welcher wiederum beim Bundesverwaltungsgericht anfechtbar wäre. Da sich die Beschwerde jedoch ausschliesslich gegen die Auflage der Verfahrenskosten richtet, ist die Sache aus Gründen der Prozessökonomie sogleich durch das angerufene Gericht selbst zu entscheiden.</w:t>
      </w:r>
    </w:p>
    <w:p>
      <w:r>
        <w:rPr>
          <w:b/>
        </w:rPr>
        <w:t>E. 3.4</w:t>
      </w:r>
    </w:p>
    <w:p>
      <w:r>
        <w:t>Der Beschwerdeführer behauptet, durch das Nichteinreichen von weiteren Unterlagen und Belegen innerhalb der Nachfrist klar zum Ausdruck gebracht zu haben, auf eine Weiterführung des Einspracheverfahrens zu verzichten. Die ESTV habe im Schreiben vom 8. Februar 2005 ausdrücklich festgehalten, dass auf die Einsprache nicht eingetreten werde, falls die Nachfrist ungenutzt ablaufe. Darauf habe er sich verlassen. Deshalb dürften ihm auch keine Kosten auferlegt werden. Diese Ansicht ist - ungeachtet dessen, dass die ESTV vorliegend gar keine Nachfrist zur Verbesserung der Einsprache unter Androhung des Nichteintretens hätte setzen dürfen - grundsätzlich unzutreffend. Zum einen hat die ESTV im erwähnten Schreiben vom 8. Februar 2005 explizit darauf hingewiesen, dass das Verfahren im Falle eines Rückzugs der Einsprache ohne Kostenfolge vom Protokoll abgeschrieben werden kann, währenddem ein solcher Hinweis bei der angedrohten Nichteintretensfolge vollständig fehlt. Zum andern obliegt es demjenigen, der ein Einsprache- bzw. Rechtsmittelverfahren einleitet, bzw. seinem Vertreter, sich über die massgeblichen Bestimmungen und die damit verbundenen, möglichen Rechtsfolgen hinreichend Kenntnis zu verschaffen. Dies gilt umso mehr für den Fall, dass der Betroffene berufsmässig vertreten ist. Wird einem Einsprecher oder Beschwerdeführer eine Nachfrist gesetzt und diese mit der Androhung des Nichteintretens im Säumnisfall verbunden, so hat die angerufene Instanz im Unterlassungsfall grundsätzlich einen Nichteintretensentscheid zu fällen. Ob dieser Entscheid mit Kostenfolgen für den Einsprecher bzw. Beschwerdeführer verbunden ist, beurteilt sich wiederum nach den anwendbaren Gesetzes- oder Verordnungsbestimmungen. Nichtsdestotrotz war das Handeln der ESTV - wie gesehen - in verfahrensrechtlicher Hinsicht nicht zulässig: Sie hat die Einsprache zu Unrecht als mangelhaft betrachtet und den Beschwerdeführer fälschlicherweise zur Verbesserung aufgefordert (vgl. E. 3.1 und 3.2). Bei dieser Sachlage hat offensichtlich Art. 68 Abs. 1 MWSTG Anwendung zu finden, wobei nicht ersichtlich ist, weshalb vom Grundsatz der Kostenlosigkeit des Einspracheverfahrens abzuweichen wäre. Die Beschwerde ist demzufolge gutzuheissen und Ziff. 4 des Dispositivs (Auflage der Kosten für das Einspracheverfahren) aufzuheben. Unter diesen Umständen kann im Übrigen offenbleiben, wie die Auflage der Verfahrenskosten zu beurteilen wäre, wenn die Nachfristansetzung mit Androhung der Nichteintretensfolge im Säumnisfall vorliegend zulässig gewesen wäre.</w:t>
      </w:r>
    </w:p>
    <w:p>
      <w:r>
        <w:rPr>
          <w:b/>
        </w:rPr>
        <w:t>E. 3.5</w:t>
      </w:r>
    </w:p>
    <w:p>
      <w:r>
        <w:t>Der Vollständigkeit halber und in Anbetracht der weiteren Ausführungen in der Beschwerdeschrift sowie der Anzahl der bei der SRK bzw. beim Bundesverwaltungsgericht durch denselben Rechtsvertreter anhängig gemachten parallelen Beschwerdefälle sei abschliessend darauf hingewiesen, dass das Bundesverwaltungsgericht sich mit Urteil A-1450/2006 vom 24. Januar 2008 materiellrechtlich mit der Problematik des "generellen Vorbehalts" auseinandergesetzt und erwogen hat, dass der Steuerpflichtige, der einen Vorbehalt auf seiner Abrechnung anbringt, zu erkennen gebe, dass er die geltende Praxis der ESTV und demnach die Steuer bestreite und hierüber implizit den Erlass eines anfechtbaren Entscheids anstrenge. Vorbehalte, die diese Voraussetzungen nicht erfüllen, müssten im Mehrwertsteuerrecht hingegen als unbegründet und unzulässig betrachtet werden. Dies gelte namentlich auch für einen Vorbehalt, der lediglich im Sinne einer Absicherung angebracht werde und den Steuerpflichtigen vor dem Risiko allfälliger zukünftiger Praxis-, Rechtsprechungs- oder Gesetzesänderungen schützen solle (vgl. E. 2.6 des erwähnten Urteils).</w:t>
      </w:r>
    </w:p>
    <w:p>
      <w:r>
        <w:rPr>
          <w:b/>
        </w:rPr>
        <w:t>E. 4</w:t>
      </w:r>
    </w:p>
    <w:p>
      <w:r>
        <w:t>Bei diesem Ergebnis sind weder dem Beschwerdeführer noch der ESTV Verfahrenskosten aufzuerlegen (Art. 63 Abs. 1 und 2 VwVG). Gemäss Art. 64 Abs. 1 VwVG ist der ganz oder teilweise obsiegenden Partei von Amtes wegen oder auf Begehren hin eine Entschädigung für die ihr erwachsenen notwendigen und verhältnismässig hohen Kosten zuzusprechen (vgl. auch Art. 7 ff. des Reglements vom 11. Dezember 2006 über die Kosten und Entschädigungen vor dem Bundesverwaltungsgericht [VGKE, SR 173.320.2]. In Anbetracht des geringen Streitwerts von Fr. 430.-- und der gesamten Umstände des vorliegenden Beschwerdeverfahrens ist die Parteientschädigung auf Fr. 250.--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