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A-1451/2006 vom 24. Januar 2008</w:t>
      </w:r>
    </w:p>
    <w:p>
      <w:r>
        <w:t>Bundesverwaltungsgericht, 2008-01-24, DE</w:t>
      </w:r>
    </w:p>
    <w:p>
      <w:r>
        <w:rPr>
          <w:b/>
        </w:rPr>
        <w:t xml:space="preserve">Quelle: </w:t>
      </w:r>
      <w:r>
        <w:t>https://mcp.opencaselaw.ch/entscheid/bvger_A-1451_2006</w:t>
      </w:r>
    </w:p>
    <w:p>
      <w:r>
        <w:t>FR: TAF A-1451/2006 du 24 janvier 2008</w:t>
      </w:r>
    </w:p>
    <w:p>
      <w:r>
        <w:t>IT: TAF A-1451/2006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der Abrechnung angebrachten "generellen Vorbehalts", der den Beschwerdeführer vor jeglicher zukünftiger Änderung der Praxis, der Rechtsprechung und der Gesetzgebung schützen soll, bzw. die Frage, ob die ESTV zu Recht mangels Einhaltung der formellen Voraussetzungen auf die Einsprache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3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8. Februar 2005 habe sie den Beschwerdeführer aufgefordert, wahlweise die Einsprachebegründung zu verbessern oder sein Rechtsmittel zurückzuziehen. Darauf habe er jedoch nicht reagiert und mangels Vervollständigung resp. Rückzugs seiner Einsprache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seiner Abrechnung für das 1.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einen Feststellungsentscheid erlassen und die Steuerschuld gemäss der eingereichten Abrechnung - unter Vorbehalt einer Kontrolle - bestätigt; zudem hat sie erwogen, dass ein derartiger "genereller Vorbehalt" nicht gültig sei.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 des Beschwerdeführers nicht hinreichend konkretisiert sei und deshalb darauf nicht eingetreten werden könne, kann nicht gefolgt werden. Die Eingabe enthält ein Begehren (Abänderung der Ziff. 1 des Dispositivs der angefochtenen Entscheide)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wollte mit seiner Einsprache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eine eingehendere Einsprache verlangt (bzw. auf die Möglichkeit des Rückzugs der Einsprache hingewiesen) und diesbezüglich das Nichteintreten im Säumnisfall angedroht hat.</w:t>
      </w:r>
    </w:p>
    <w:p>
      <w:r>
        <w:rPr>
          <w:b/>
        </w:rPr>
        <w:t>E. 3.3</w:t>
      </w:r>
    </w:p>
    <w:p>
      <w:r>
        <w:t>Die ESTV hätte demnach - ohne Nachfristansetzung - auf die Einsprache eintreten und einen materiellen Entscheid hinsichtlich des erhobenen "generellen Vorbehalts"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8. Februar 2005 ausdrücklich festgehalten, dass auf die Einsprache nicht eingetreten werde, falls die Nachfrist ungenutzt ablaufe. Darauf habe er sich verlassen. Deshalb dürften ihm auch keine Kosten auferlegt werden. Diese Ansicht ist - ungeachtet dessen, dass die ESTV vorliegend gar keine Nachfrist zur Verbesserung der Einsprache unter Androhung des Nichteintretens hätte setzen dürfen - grundsätzlich unzutreffend. Zum einen hat die ESTV im erwähnten Schreiben vom 8. Februar 2005 explizit darauf hingewiesen, dass das Verfahren im Falle eines Rückzugs der Einsprache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4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2008 materiellrechtlich mit der Problematik des "generellen Vorbehalts" auseinandergesetzt und erwogen hat, dass der Steuerpflichtige, der einen Vorbehalt auf seiner Abrechnung anbringt, zu erkennen gebe, dass er die geltende Praxis der ESTV und demnach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