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A-144/2015 vom 17. September 2015</w:t>
      </w:r>
    </w:p>
    <w:p>
      <w:r>
        <w:t>Bundesverwaltungsgericht, 2015-09-17, FR</w:t>
      </w:r>
    </w:p>
    <w:p>
      <w:r>
        <w:rPr>
          <w:b/>
        </w:rPr>
        <w:t xml:space="preserve">Quelle: </w:t>
      </w:r>
      <w:r>
        <w:t>https://mcp.opencaselaw.ch/entscheid/bvger_A-144_2015</w:t>
      </w:r>
    </w:p>
    <w:p>
      <w:r>
        <w:t>FR: TAF A-144/2015 du 17 septembre 2015</w:t>
      </w:r>
    </w:p>
    <w:p>
      <w:r>
        <w:t>IT: TAF A-144/2015 del 17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301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mensuel du logement de service imposée recourant.</w:t>
      </w:r>
    </w:p>
    <w:p>
      <w:r>
        <w:rPr>
          <w:b/>
        </w:rPr>
        <w:t>E. 3</w:t>
      </w:r>
    </w:p>
    <w:p>
      <w:r>
        <w:t>Il convient de commencer par déterminer si la présente contestation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[...]/GE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dédommagement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Ensuite, les départements fixent les modalités dans leur domaine d'activité.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reproche, tout d'abord, à l'autorité inférieure d'avoir constaté les faits de manière inexacte et en violation du principe de la bonne foi. Il expose, à l'appui de son grief, que l'autorité inférieure a arrêté la surface de son logement à 71.10 m2, au 1er décembre 2005, puis elle a fait passer cette surface sans justification objective suffisante à 80.90 m2 (mesures du 16 juin 2014) et 80.20 m2 (mesures du 27 octobre 2014). Or rien ne justifierait une telle différence (9.10 m2), à l'exception de la prise en compte du hall d'entrée (5 m2), selon les nouvelles directives. Il demande dès lors au Tribunal d'arrêter la surface nette de son logement à 76.10 m2 (soit retrancher une surface de 4.10 m2). L'autorité inférieure lui oppose que la norme SIA 416, prévue par les directives, a été appliquée correctement par un architecte mandaté au cas d'espèce. Dite norme conduit dès lors à une nouvelle définition de la surface habitable du logement (surface nette ou SPN) et tient en particulier compte des halls d'entrée et des corridors.</w:t>
      </w:r>
    </w:p>
    <w:p>
      <w:r>
        <w:rPr>
          <w:b/>
        </w:rPr>
        <w:t>E. 5.2.1</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ATF 131 II 627 consid. 6.1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A-4790/2012 du 23 juillet 2014 consid. 5.3.1 et réf. cit.).</w:t>
      </w:r>
    </w:p>
    <w:p>
      <w:r>
        <w:rPr>
          <w:b/>
        </w:rPr>
        <w:t>E. 5.2.2</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5.3</w:t>
      </w:r>
    </w:p>
    <w:p>
      <w:r>
        <w:t>En l'occurrence, lors de l'estimation de la surface habitable du logement du recourant, en 2005, les directives du DFF sur le dédommagement et les charges à payer pour l'utilisation d'un logement du service du 21 février 2005 étaient applicables. Selon le chiffre 3.1.2 des directives 2005, la surface habitable prise en considération s'élevait au maximum à 75 m2, pour un appartement de 3 pièces, et seul l'espace pouvant être meublé était pris en compte, sans les surfaces servant à se mouvoir ni les accès aux autres locaux. Les locaux mansardés étaient de plus mesurés à 180 cm au sol. Lors de la mise en oeuvre des directives du 1er août 2013, la manière d'estimer la surface habitable a changé (cf. ch. 3.2 des directives du 1er août 2013). Elle se définit aujourd'hui au regard de la norme SIA 416 (2003)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Dans ces circonstances, le Tribunal retient que la situation en droit a changé. Le recourant ne fait par ailleurs pas valoir qu'il aurait été mis au bénéfice d'une promesse ou d'un droit acquis en relation avec l'estimation de la surface habitable de son logement. Celle-ci a dès lors régulièrement été évaluée selon la norme 416 (2003). Le Tribunal fédéral a d'ailleurs déjà eu l'occasion de rappeler qu'il s'agit aujourd'hui de la norme déterminante en vigueur (cf. arrêt du Tribunal fédéral 7B.118/2006 du 7 novembre 2006 consid. 2.1).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la norme SIA 416 (2003) et les directives pertinentes. Le recourant ne fait en outre valoir aucune erreur concrète de l'architecte, qui a procédé aux mesures, et l'erreur corrigée - en faveur du recourant (l'architecte a retranché 70 cm2 entre ses premières mesures du 16 juin 2014 et celles du 27 octobre 2014) - est peu significative. Il s'ensuit que le Tribunal retient que le logement de service du recourant occupe une surface habitable de 80.17 m2, arrêté à 80.20 m2, selon le ch. 3.1 des directives 2013. Le grief y afférent du recourant sera rejeté.</w:t>
      </w:r>
    </w:p>
    <w:p>
      <w:r>
        <w:rPr>
          <w:b/>
        </w:rPr>
        <w:t>E. 6.1</w:t>
      </w:r>
    </w:p>
    <w:p>
      <w:r>
        <w:t>Le recourant reproche ensuite à l'autorité inférieure d'avoir fixé le montant du dédommagement au m2 à 165 francs (150 francs + 10 %). Il considère que cette réévaluation est abusive et propose de s'en tenir au montant de 150 francs auquel il demande d'opérer la même réduction qu'auparavant (10 %) pour tenir compte des alentours défavorables. L'autorité inférieure objecte que le recourant occupe au appartement dans une maison familiale et qu'il doit dès lors compter sur un supplément de 10 %. Il n'existerait par ailleurs aucun désavantage au cas d'espèce, dès lors qu'un mur anti-bruit a été construit et des fenêtres comportant une isolation phonique posées.</w:t>
      </w:r>
    </w:p>
    <w:p>
      <w:r>
        <w:rPr>
          <w:b/>
        </w:rPr>
        <w:t>E. 6.2</w:t>
      </w:r>
    </w:p>
    <w:p>
      <w:r>
        <w:t>Selon le ch. 3.3 des directives 2013, le prix au m2 est fixé d'après le nombre d'habitants de la commune politique où se trouve le logement de service. Pour une population déterminante de 10'000 à 200'000 habitants, le dédommagement s'élève à 150 francs/m2. Le dédommagement peut être ensuite réduit de trois échelons au plus (c'est-à-dire à 80 francs max.) pour les logements de service situés dans des endroits particuliè­rement isolés ou les logements de service présentant une différence particulièrement importante avec le niveau régional des loyers. En outre, lorsque le logement de service est dépourvu de l'équipement prévu au ch. 3.1, al. 2, des directives 2013, le dédommagement calculé est réduit de 20 % maximum en l'absence d'installations nécessaires à l'utilisation de l'appartement (notamment s'il n'y a pas de machine à laver et de sèche-linge ou de raccordement TV). Peuvent également être déduits pour les inconvénients particuliers que présente le logement : jusqu'à 10 % pour des alentours défavorables (par ex. situation défavorable du logement, bruit) ou pour une disposition inadéquate du logement (pièce sans accès direct, etc). Les déductions opérées ne doivent cependant pas excéder globalement 30 %. Les appartements et les maisons familiales bénéficiant d'avantages particuliers peuvent faire en outre l'objet d'un supplément s'élevant jusqu'à 20 % (par ex. aménagement particulièrement soigné, surface généreuse, situation favorable, etc).</w:t>
      </w:r>
    </w:p>
    <w:p>
      <w:r>
        <w:rPr>
          <w:b/>
        </w:rPr>
        <w:t>E. 6.3</w:t>
      </w:r>
    </w:p>
    <w:p>
      <w:r>
        <w:t>En l'espèce, il ressort du dossier que le logement de service du recourant a constamment bénéficié d'une déduction de 10 % pour "alentours défavorables". Cette déduction reposait sur le chiffre 3.2.2 des directives 2005, selon lequel "[d]u dédommagement selon le chiffre 3.1.4 peuvent être déduits pour des inconvénients extraordinaires que présente le logement : jusqu'à 15 % : alentours défavorables, par ex. situation du logement, bruit, fumée, poussière, odeurs". Cette déduction reposait donc sur une base juridique sensiblement identique à celle que prévoient les directives 2013. Dans ces circonstances, le Tribunal ne comprend pas que la décision attaquée ne porte aucune motivation pour expliquer comment, à l'occasion de l'application d'une prescription pour l'essentiel identique, une situation défavorable (- 10 %) devient une situation bénéficiant d'avantages particuliers (+ 10 %). Certes, il n'est pas contesté que la Confédération a procédé, à une date inconnue, à des travaux (mur antibruit et pose d'un matériel comportant une isolation phonique). A défaut de toute information concrète sur l'environnement du logement de service du recourant, le Tribunal n'est toutefois pas en mesure d'apprécier dans quelle mesure ces travaux ont permis à l'autorité inférieure de retenir que le logement de service présente, dorénavant, une situation bénéficiant d'avantages particuliers. Le Tribunal n'est donc pas en mesure d'apprécier si les directives 2013 ont été appliquées correctement au cas du recourant. Ainsi, il s'avère que la situation concrète du logement de service n'a pas été établie à suffisance de droit par les éléments invoqués. La décision attaquée manque en d'autres termes de consistance, au vu de la déduction précédemment accordée au recourant. Il s'ensuit que le dossier doit être renvoyé à l'autorité inférieure pour qu'elle complète l'instruction de la cause sur ce point et établisse les éléments nécessaires à apprécier la situation du logement de service du recourant.</w:t>
      </w:r>
    </w:p>
    <w:p>
      <w:r>
        <w:rPr>
          <w:b/>
        </w:rPr>
        <w:t>E. 7</w:t>
      </w:r>
    </w:p>
    <w:p>
      <w:r>
        <w:t>Il résulte des considérations qui précèdent que le recours doit être admis. La décision attaquée est annulée et le dossier renvoyé à l'autorité inférieure au sens des considérants qui précèdent.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 en l'espèce.</w:t>
      </w:r>
    </w:p>
    <w:p>
      <w:r>
        <w:rPr>
          <w:b/>
        </w:rPr>
        <w:t>E. 7.2</w:t>
      </w:r>
    </w:p>
    <w:p>
      <w:r>
        <w:t>L'autorité inférieure, qui succombe, versera au recourant une indemnité de dépens (art. 64 al. 1 PA et art. 7 du règlement du 21 février 2008 concernant les frais, dépens et indemnités fixés par le Tribunal administratif fédéral [FITAF, RS 173.320.2]). En l'occurrence, l'indemnité de dépens sera, sur la base du dossier (art. 14 al. 2 FITAF), arrêtée à 2'000 francs.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