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A-1443/2006 vom 25. September 2007</w:t>
      </w:r>
    </w:p>
    <w:p>
      <w:r>
        <w:t>Bundesverwaltungsgericht, 2007-09-25, DE</w:t>
      </w:r>
    </w:p>
    <w:p>
      <w:r>
        <w:rPr>
          <w:b/>
        </w:rPr>
        <w:t xml:space="preserve">Quelle: </w:t>
      </w:r>
      <w:r>
        <w:t>https://mcp.opencaselaw.ch/entscheid/bvger_A-1443_2006</w:t>
      </w:r>
    </w:p>
    <w:p>
      <w:r>
        <w:t>FR: TAF A-1443/2006 du 25 septembre 2007</w:t>
      </w:r>
    </w:p>
    <w:p>
      <w:r>
        <w:t>IT: TAF A-1443/2006 del 25 settembre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 Es übernimmt am 1. Januar 2007 die Beurteilung des bei der SRK hängigen Rechtsmittels und wendet das neue Verfahrensrecht an (Art. 53 Abs. 2 VGG). Der Beschwerdeführer ist durch den Einspracheentscheid der ESTV vom 14. März 2005 beschwert (Art. 48 VwVG), hat diesen mit Eingabe vom 27. April 2005 frist- und formgerecht angefochten (Art. 50 ff. VwVG) und den Kostenvorschuss von Fr. ... fristgerecht geleistet. Auf die Beschwerde ist mithin einzutreten.</w:t>
      </w:r>
    </w:p>
    <w:p>
      <w:r>
        <w:rPr>
          <w:b/>
        </w:rPr>
        <w:t>E. 1.2</w:t>
      </w:r>
    </w:p>
    <w:p>
      <w:r>
        <w:t>Unter dem Anfechtungs- oder Beschwerdeobjekt ist der Gegenstand des Anfechtungsverfahrens, das heisst der angefochtene Akt der Verwaltung, zu verstehen. Angefochten wird ein Hoheitsakt bei einer staatlichen Instanz (der Beschwerdeinstanz; vgl. René Rhinow/Heinrich Koller/Christina Kiss, Öffentliches Prozessrecht und Justizverwaltungsrecht des Bundes, Basel 1996, Rz. 963 ff.). Das Anfechtungsobjekt, das heisst die Verfügung oder der Entscheid der unteren Instanz, bildet den Rahmen, welcher den möglichen Umfang des Streitgegenstandes begrenzt. Gegenstand des Beschwerdeverfahrens kann nur sein, was Gegenstand des erstinstanzlichen Verfahrens war oder nach richtiger Gesetzesauslegung hätte sein sollen (Urteil des Bundesverwaltungsgerichts A-1608/2006 vom 8. Mai 2007 E. 3.1; Entscheid der Eidgenössischen Personalrekurskommission [PRK] vom 8. November 2005, veröffentlicht in Verwaltungspraxis der Bundesbehörden [VPB] 70.52 E. 2). Streitgegenstand in der nachträglichen Verwaltungsrechtspflege ist demzufolge das Rechtsverhältnis, das Gegenstand der angefochtenen Verfügung bildet, soweit es im Streit liegt. Nicht die Verfügung selbst ist Streitgegenstand (sie bildet das Anfechtungsobjekt), sondern das in der Verfügung geregelte oder zu regelnde, im Beschwerdeverfahren streitige Rechtsverhältnis. Der Streitgegenstand darf nicht über das Anfechtungsobjekt hinausgehen. In der streitigen öffentlichen Rechtspflege erscheint vor allem wichtig, dass der Prozess auf den Streitgegenstand beschränkt ist (die Rechtsmittelinstanz hat keine allgemeine Aufsicht über die Verwaltung). Gegenstände, über welche die erstinstanzlich verfügende Behörde nicht entschieden hat, darf die zweite Instanz nicht beurteilen; sonst würde in die funktionelle Zuständigkeit der ersten Instanz eingegriffen. Das bedeutet auch, dass die Rechtsmittelinstanz im Rahmen des Rechtsmittelverfahrens die Verfügung nur insoweit überprüfen darf, als sie angefochten ist (BGE 131 II 203 E. 3.2; Urteil des Bundesverwaltungsgerichts A-1608/2006 vom 8. Mai 2007 E. 3.3; Entscheid der SRK vom 18. Januar 1999, veröffentlicht in VPB 63.78 E. 2; vgl. auch Alfred Kölz/Isabelle Häner, Verwaltungsverfahren und Verwaltungsrechtspflege des Bundes, 2. Aufl., Zürich 1998, Rz. 403 ff.; André Moser, in: Moser/Uebersax, Prozessieren vor eidgenössischen Rekurskommissionen, Basel und Frankfurt am Main 1998, Rz. 2.13 mit weiteren Hinweisen).</w:t>
      </w:r>
    </w:p>
    <w:p>
      <w:r>
        <w:rPr>
          <w:b/>
        </w:rPr>
        <w:t>E. 1.3</w:t>
      </w:r>
    </w:p>
    <w:p>
      <w:r>
        <w:t>Im vorliegenden Fall ist das Anfechtungsobjekt der Einspracheentscheid der ESTV vom 14. März 2005 betreffend das 1. Quartal 1995 bis 2. Quartal 1999 (Zeitraum vom 1. Januar 1995 bis 30. Juni 1999). Streitgegenstand ist damit die Frage, ob der Beschwerdeführer aus dieser Abrechnungsperiode noch Mehrwertsteuern schuldet. Nicht zum Streitgegenstand gehören hingegen die offenen Punkte hinsichtlich der vom Beschwerdeführer nachgereichten Fakturen, die die ESTV ausserhalb des vorliegenden Verfahrens noch unter Mitwirkung des Beschwerdeführers und seiner damaligen Leistungsbezüger abklären wird, um eine allfällige Korrektur der im Kontrollzeitraum schätzungsweise ermittelten Umsätze von total Fr. ... auf Fr. ... (Totalbetrag der Fakturen) und die entsprechende Ermittlung des dazugehörigen Vorsteuerabzugs zu beurteilen. Die Vorinstanz hat über diese Fragen noch nicht entschieden (Ziff. 2.1.2 des Einspracheentscheids), weshalb sie im vorliegenden Verfahren auch nicht zum Streitgegenstand gehören. Das gilt auch angesichts der Vernehmlassung der ESTV vom 12. Juli 2005, wo auf die unter Ziff. 2.1 des Einspracheentscheids gemachten Ausführungen verwiesen, aber gleichzeitig hingewiesen wird, die nachträglich eingereichten Unterlagen würden nicht zum Vorsteuerabzug zugelassen. Die Vernehmlassung stellt noch keinen Entscheid dar. Die ESTV wird - wie im Einspracheentscheid vom 14. März 2005 angekündigt - die Frage der Umsatzschätzung und des Vorsteuerabzugs in einem separaten Verfahren entscheiden; der entsprechende Entscheid wird wieder der Einsprache und der Beschwerde unterliegen. Das Bundesverwaltungsgericht kann, da die Sache nicht entscheidungsreif ist (im Gegensatz zu BGE 125 II 326 E. 2d), im vorliegenden Verfahren darüber nicht befinden und insoweit auf die Beschwerde nicht eintreten.</w:t>
      </w:r>
    </w:p>
    <w:p>
      <w:r>
        <w:rPr>
          <w:b/>
        </w:rPr>
        <w:t>E. 2.1</w:t>
      </w:r>
    </w:p>
    <w:p>
      <w:r>
        <w:t>Die hier zur Beurteilung stehenden Sachverhalte wurden alle vor Inkrafttreten des Mehrwertsteuergesetzes - am 1. Januar 2001 - verwirklicht. Auf das vorliegende Verfahren sind deshalb noch die Bestimmungen der Mehrwertsteuerverordnung anwendbar (Art. 93 und 94 des Bundesgesetzes vom 2. September 1999 über die Mehrwertsteuer [MWSTG, SR 641.20]).</w:t>
      </w:r>
    </w:p>
    <w:p>
      <w:r>
        <w:rPr>
          <w:b/>
        </w:rPr>
        <w:t>E. 2.2</w:t>
      </w:r>
    </w:p>
    <w:p>
      <w:r>
        <w:t>Gemäss Art. 4 Bst. a und b MWSTV unterliegen Lieferungen und Dienstleistungen der Mehrwertsteuer nur, wenn sie gegen Entgelt erbracht werden. Damit ein steuerbarer Umsatz vorliegt, ist ein Austausch von Leistungen notwendig. Die Leistung, die erbracht wird, ist eine Lieferung oder Dienstleistung, die Gegenleistung besteht im Entgelt. Eine Dienstleistung liegt nach Art. 6 MWSTV auch vor, wenn immaterielle Werte und Rechte überlassen werden. Nach Art. 26 Abs. 1 MWSTV wird die Steuer vom Entgelt berechnet. Zu diesem gehört alles, was der Empfänger oder an seiner Stelle ein Dritter für die Lieferung oder Dienstleistung aufwendet (Art. 26 Abs. 2 MWSTV). Das Entgelt ist somit Voraussetzung dafür, dass ein Leistungsaustausch vorliegt, und zugleich Berechnungsgrundlage für die Mehrwertsteuer (BGE 126 II 443, 451 E. 6a mit Hinweisen). Für die zu beantwortende Frage, ob und inwieweit Sponsoringleistungen der Mehrwertsteuer unterliegen, ist folglich von Bedeutung, ob damit ein Leistungsaustausch verbunden ist (Urteil des Bundesgerichts 2A.150/2001 vom 13. Februar 2002 E. 5b; Entscheide der SRK vom 18. November 2002, veröffentlicht in VPB 67.49 E. 2a, vom 20. Februar 2001, veröffentlicht in VPB 66.57 E. 5a/bb und vom 19. März 2001, veröffentlicht in VPB 65.108 E. 3c). Unter dem Begriff des Sponsoring wird die Gewährung von Geldleistungen, geldwerten Vorteilen und anderen Zuwendungen durch Unternehmen verstanden, die damit Personen, Gruppen, Organisationen und dergleichen in sportlichen, kulturellen, sozialen ökologischen oder ähnlich bedeutsamen gesellschaftspolitischen Bereichen fördern wollen und damit gleichzeitig eigene, unternehmsbezogene Marketing- und Kommunikationsziele anstreben (Urteile des Bundesgerichts 2A.526/2003 vom 1. Juli 2004 E. 1.2, 2A.43/2002 vom 8. Januar 2003 E. 3.1.1 und 2A.175/2002 vom 23. Dezember 2002 E. 2). Die Imageförderung für einen nach wirtschaftlichen Kriterien geführten Betrieb steht im Vordergrund, auch wenn eine untergeordnete, uneigennützige Spenderabsicht des Sponsors nicht immer auszuschliessen ist (Entscheid der SRK vom 19. März 2001, veröffentlicht in VPB 65.108 E. 3c). Spenden sind dagegen freiwillige, geldwerte Unterstützungen an einen Dritten ohne entsprechende Gegenleistungen. Der Spender bezweckt mit seiner Zuwendung, dass der Empfänger eine besondere Aufgabe erfüllt; die Spende wird aber nicht hingegeben, damit der Leistungsempfänger eine konkrete Gegenleistung erbringe (Urteile des Bundesgerichts 2A.43/2002 vom 8. Januar 2003 E. 3.1.2 und 2A.150/2001 vom 13. Februar 2002 E. 5b). Sie unterliegen nicht der Mehrwertsteuer nach Art. 4 MWSTV; für solche Leistungen ist der Vorsteuerabzug verhältnismässig zu kürzen (BGE 126 II 458 ff. E. 8a; Urteile des Bundesgerichts 2A.650/2005 vom 15. August 2006 E. 3.3 und 2A.43/2002 vom 8. Januar 2003 E. 3.1.2; Urteile des Bundesverwaltungsgerichts A-1345/2006 vom 12. Juni 2007 E. 2.2 und A-1386/2006 vom 3. April 2007 E. 2.5; Thomas J. Kaufmann, mwst.com, a.a.O. Rz. 4, 15 zu Art. 33 Abs. 6; Alois Camenzind/Niklaus Honauer/Klaus A. Vallender, Handbuch zum Mehrwertsteuergesetz [MWSTG], Bern 2003, 2. Aufl., Rz. 1438, 1447 ff.). Allerdings ist im Einzelfall genau zu prüfen, ob eine freiwillige Zuwendung oder ein Leistungsentgelt vorliegt (BGE 124 II 443 E. 8a). Eine Aufteilung von Sponsoringeinnahmen in ein Leistungsentgelt für die Werbe- oder Bekanntmachungsleistung einerseits und einen unentgeltlichen Spendenanteil andererseits ist nicht vorzunehmen (Urteil des Bundesgerichts 2A.175/2002 vom 23. Dezember 2002 E. 3.3). Für die Frage des Leistungsaustauschs kann es auch keine Rolle spielen, ob Leistung und Gegenleistung wertmässig in einem vernünftigen Verhältnis stehen oder ob darin noch Goodwill-Leistungen, Sympathiezuwendungen des Patrons aus der Unternehmenskasse und dergleichen enthalten sind. Es genügt, dass Leistung und Gegenleistung innerlich verknüpft sind, die eine Leistung ohne die andere somit nicht erfolgen würde. Diese Auffassung rechtfertigt sich um so mehr, als Sponsoringleistungen sich nicht auf reine Werbeleistungen reduzieren lassen, sondern darüber hinaus als indirekte Werbung der Imagepflege der Unternehmung dienen. Das zeigt sich auch darin, dass kommerziell tätige Unternehmen in der Praxis Sponsorenleistungen regelmässig aus ihrem Werbebudget finanzieren und sie bis zu einem gewissen Mass als Gewinnungskosten steuerlich in Abzug bringen (Urteil des Bundesgerichts 2A. 150/2001 vom 13. Februar 2002 E. 6b; Peter Brülisauer/Stephan Kuhn, in: Kommentar zum Schweizerischen Steuerrecht I/2a, Basel Genf München 2000, Rz. 190 zu Art. 58 DBG).</w:t>
      </w:r>
    </w:p>
    <w:p>
      <w:r>
        <w:rPr>
          <w:b/>
        </w:rPr>
        <w:t>E. 2.3</w:t>
      </w:r>
    </w:p>
    <w:p>
      <w:r>
        <w:t>Nach konstanter Rechtsprechung werden gemäss dem Grundsatz der Einheitlichkeit der Leistung einheitliche wirtschaftliche Vorgänge nicht in mehrere selbständige Leistungen zerlegt, wenn sie wirtschaftlich zusammengehören und ein unteilbares Ganzes bilden. Übt der Mehrwertsteuerpflichtige eine Reihe von einzelnen Tätigkeiten aus, die auf ein einheitliches wirtschaftliches Ziel gerichtet sind, liegt eine einheitliche Leistung indes nur dann vor, wenn die einzelnen Teile sachlich, zeitlich und vom wirtschaftlichen Gehalt her in einer derart engen Verbundenheit stehen, dass sie untrennbare Komponenten eines Vorgangs verkörpern, der das gesamte Handeln umfasst (Urteil des Bundesverwaltungsgerichts A-1431/2006 vom 25. Mai 2007 E. 2.3; Entscheide der SRK vom 22. April 2002, veröffentlicht in VPB 66.95 E. 2c, 3, vom 10. März 1999, veröffentlicht in VPB 63.92 E. 3b/c, vom 3. Februar 1999, veröffentlicht in MWST-Journal 1/99, S. 24, E. 4b, vom 25. September 1998, veröffentlicht in MWST-Journal 4/98, S. 166, E. 5a und vom 9. Februar 2006, veröffentlicht in VPB 70.57 E. 2c). Es gelten für sie jeweils die gleichen Vorschriften (z.B. bezüglich Ort der Besteuerung, Steuersatz oder Steuerbefreiungsvorschriften). Liegt eine Gesamtleistung vor, erfolgt die mehrwertsteuerliche Behandlung nach der für diese wesentlichen Eigenschaft, das heisst nach der Leistung, welche wirtschaftlich betrachtet im Vordergrund steht. Eine mehrwertsteuerpflichtige Leistung als Ganzes kann Leistungskomponenten umfassen, die isoliert betrachtet steuerbefreit oder von der Steuer ausgenommen wären. Denn auch umgekehrt ist es ohne weiteres möglich, dass als Ganzes steuerbefreit oder von der Steuer ausgenommen zu beurteilende Leistungen Elemente von an sich mehrwertsteuerpflichtigen Tätigkeiten beinhalten (vgl. Entscheide der SRK vom 25. September 1998, a.a.O. E. 4b, und vom 3. Februar 1999, a.a.O. E. 4). Liegt dagegen eine Hauptleistung mit einer oder mehreren akzessorischen Nebenleistungen vor, richtet sich die Beurteilung der Nebenleistungen stets nach den Eigenschaften der Hauptleistung; diese stellt den Kern der zu erbringenden Leistung dar. Nebenleistungen teilen mehrwertsteuerrechtlich das Schicksal der Hauptleistung, wenn sie im Verhältnis zu dieser nebensächlich sind, mit dieser in einem engen Zusammenhang stehen, diese wirtschaftlich ergänzen, verbessern oder abrunden und mit dieser üblicherweise vorkommen (Urteile des Bundesgerichts 2A.135/2001 vom 7. Dezember 2001 E. 2 und 2A.25/2000 vom 26. Juli 2001, übersetzt in Revue de Droit Administratif et de Droit Fiscal [RDAF] 2002 II 36 ff. E. 3a und b; Urteil des Bundesverwaltungsgerichts A-1431/2006 vom 25. Mai 2007 E. 2.3; Entscheid der SRK vom 22. April 2002, veröffentlicht in VPB 66.95 E. 2c; ausführlich: Entscheid der SRK vom 25. September 1998, a.a.O. E. 5a; zum Ganzen: siehe auch Camenzind/Honauer/Vallender, a.a.O. Rz. 187 ff.). Liegt weder eine Gesamtleistung noch eine Haupt- und Nebenleistung vor, so handelt es sich um mehrere selbständige Leistungen, die mehrwertsteuerrechtlich getrennt zu behandeln sind (vgl. zum Ganzen: Urteile des Bundesgerichts 2A.452/2003 vom 4. März 2004, E. 3.1 und 2A.520/2003 vom 29. Juni 2004, E. 10.1). Sind in einem Leistungskomplex sowohl Lieferungen als auch Dienstleistungen enthalten, so richtet sich deren einheitliche Behandlung (entweder als Lieferung oder aber als Dienstleistung) nach dem wirtschaftlichen Kerngehalt der gesamthaften Leistung (vgl. Urteil des Bundesgerichts 2A.452/2003 vom 4. März 2004, E. 4). Bei der Umsetzung des Einheitlichkeitsgrundsatzes verlangt der Gesetzgeber in Art. 36 Abs. 4 MWSTG die Anwendung einer wirtschaftlichen Betrachtungsweise, mit der Folge, dass diese der zivilrechtlichen Beurteilung vorgeht (Urteil des Bundesgerichts 2A.567/2006 vom 25. April 2007 E. 4.3; allgemein zur wirtschaftlichen Betrachtungsweise Urteil des Bundesverwaltungsgerichts A-1428/2006 vom 29. August 2007 E. 2.7; Entscheid der SRK vom 22. April 2002, veröffentlicht in VPB 66.95 E. 2c). Dem Charakter der Mehrwertsteuer als allgemeine Verbrauchsteuer folgend, hat die Beurteilung zudem primär aus der Sicht des Verbrauchers zu erfolgen. Es ist zu prüfen, ob ein Leistungskomplex nach allgemeiner Verkehrsauffassung von einer bestimmten Verbrauchergruppe typischerweise als einheitliche Leistung verstanden wird. Der subjektive Parteiwille ist sekundär. Nicht massgebend sind schliesslich die Wertverhältnisse der einzelnen Leistungen, auch wenn in vielen Fällen der Wert der Nebenleistung geringer ist als jener der Hauptleistung (Urteil des Bundesgerichts 2A.452/2003 vom 4. März 2003 E. 3.2; Urteil des Bundesverwaltungsgerichts A-1431/2006 vom 25. Mai 2007 E. 2.3).</w:t>
      </w:r>
    </w:p>
    <w:p>
      <w:r>
        <w:rPr>
          <w:b/>
        </w:rPr>
        <w:t>E. 2.4</w:t>
      </w:r>
    </w:p>
    <w:p>
      <w:r>
        <w:t>Nach der Mehrwertsteuerverordnung wird die Mehrwertsteuer vom Entgelt berechnet. Dazu gehört alles, was der Leistungsempfänger oder ein Dritter für ihn als Gegenleistung für die Leistung aufwendet (Art. 26 Abs. 1 und 2 MWSTV). Die Gegenleistung umfasst auch den Ersatz aller Kosten, selbst wenn diese gesondert in Rechnung gestellt werden (Art. 26 Abs. 2 MWSTV; Urteil des Bundesverwaltungsgerichts A-1379/2006 vom 10. September 2007 E. 2.4). Nur jene Zuwendungen des Abnehmers gehören nicht zum steuerbaren Entgelt, die keinen ursächlichen Zusammenhang mit der steuerbaren Leistung aufweisen und ihren Rechtsgrund in einem selbständigen, von der Leistung unabhängigen Leistungsaustauschverhältnis haben (statt vieler: BGE 126 II 443 E. 6; Urteil des Bundesverwaltungsgerichts A-1354/A-1409/2006 vom 24. August 2007 E. 3.1, mit Hinweisen). Entsprechend dem Wesen der Mehrwertsteuer als Verbrauchsteuer ist die Sicht des Verbrauchers ins Zentrum zu rücken (vgl. Daniel Riedo, Vom Wesen der Mehrwertsteuer als allgemeine Verbrauchsteuer und von den entsprechenden Wirkungen auf das schweizerische Recht, Bern 1999, S. 96, 228). So sieht denn das anwendbare Recht vor, zum Entgelt gehöre alles, was der Verbraucher für die Leistung aufwendet, und nicht etwa, was der Erbringer dafür erhält (Art. 26 Abs. 2 MWSTV). Begriff und Umfang des Entgelts sind folglich aus der Sicht des Abnehmers zu definieren (Camenzind/Honauer/Vallender, a.a.O. Rz. 1161). Berechnungsgrundlage ist letztlich, was der Verbraucher (Abnehmer) bereit oder verpflichtet ist, für die erhaltene Leistung aufzuwenden bzw. um die Leistung zu erhalten (Entscheid der SRK vom 31. März 2004, veröffentlicht in VPB 68.126 E. 3d).</w:t>
      </w:r>
    </w:p>
    <w:p>
      <w:r>
        <w:rPr>
          <w:b/>
        </w:rPr>
        <w:t>E. 3</w:t>
      </w:r>
    </w:p>
    <w:p>
      <w:r>
        <w:t>Im vorliegenden Fall sind die Einwendungen des Beschwerdeführers betreffend seine Sponsoring- bzw. Spendeneinnahmen, die Entgelte für VIP- oder Skipässe, die Verpflegungs- und Unterkunftsleistungen des Beschwerdeführers an Helfer sowie betreffend seine Mehrwertsteuerpflicht für das Jahr 1997 zu beurteilen.</w:t>
      </w:r>
    </w:p>
    <w:p>
      <w:r>
        <w:rPr>
          <w:b/>
        </w:rPr>
        <w:t>E. 3.1</w:t>
      </w:r>
    </w:p>
    <w:p>
      <w:r>
        <w:t>Der Beschwerdeführer beantragt, den Anteil der nicht steuerbaren Spenden- und Gönnerbeiträge ermessensweise auf 50% seines gesamten Umsatzes aus Sponsoringleistungen festzusetzen, weil die Überprüfung jeder einzelnen Vereinbarung mit unverhältnismässigem Aufwand verbunden sei und rückwirkend auch nurmehr schwerlich durchführbar wäre. Zu Recht hat die ESTV hierzu auf den Entscheid des Bundesgerichts hingewiesen (E. 2.2), wonach eine Aufteilung in ein Leistungsentgelt für die Werbe- oder Bekanntmachungsleistung einerseits und einen unentgeltlichen Spendenanteil andererseits nicht vorzunehmen ist. Der Beschwerdeführer macht dazu geltend, der Sachverhalt stelle sich in seinem Fall anders dar, denn im Unterschied zum Fall, der durch das Bundesgericht beurteilt worden sei, habe er nicht mit einer Sponsorenvereinigung, sondern mit verschiedenen Partnern jeweils individuelle Verträge abgeschlossen, weshalb die einzelnen Umsätze gesondert zu würdigen und je nach Ausprägung als steuerbares Sponsoring oder als nicht der Mehrwertsteuer unterliegende Spenden oder Gönnerbeiträge zu qualifizieren seien. Die Argumente des Beschwerdeführers überzeugen nicht: Wenn die Aufteilung in Leistungsentgelt und Spendenanteil bei einer Sponsorenvereinigung, deren hauptsächliches Ziel die Unterstützung eines Dritten darstellt und die im Übrigen wirtschaftlich kaum tätig sein dürfte, nicht gemacht werden kann, muss dies im Licht der bundesgerichtlichen Rechtsprechung umso mehr für die hier fraglichen wirtschaftlich tätigen Unternehmen aus dem Bereich Verpflegung und Kommunikation gelten, die mit ihren Sponsorleistungen eigene, unternehmensbezogene Marketing- und Kommunikationsziele anstreben. Es erscheint überdies ohnehin faktisch und rechnerisch unmöglich, einen Sponsoring- von einem Spendenanteil quantitativ abzutrennen. Das gibt der Beschwerdeführer ohne weiteres zu (Beschwerde Ziff. 1.2, S. 7), wenn er ausführt, die Überprüfung jeder einzelnen Vereinbarung sei mit unverhältnismässigem Aufwand verbunden. Es gibt aus diesen Gründen keinerlei Anlass, eine hälftige Aufteilung zwischen den Sponsoringeinnahmen und den behaupteten Spenden- bzw. Gönnerbeiträgen vorzunehmen. Die Beschwerde ist in dieser Hinsicht abzuweisen.</w:t>
      </w:r>
    </w:p>
    <w:p>
      <w:r>
        <w:rPr>
          <w:b/>
        </w:rPr>
        <w:t>E. 3.2</w:t>
      </w:r>
    </w:p>
    <w:p>
      <w:r>
        <w:t>Die ESTV begründet die Nachbelastung auf dem Umsatz mit Skipässen und VIP-Eintritten im angefochtenen Einspracheentscheid damit, dass die Gesamtleistung steuerbar sei und deswegen keine Aussonderung der allenfalls von der Mehrwertsteuer ausgenommenen Eintritte zur Sportveranstaltung - zum Skirennen selber - stattfinde. In der Vernehmlassung vom 12. Juli 2005 (Ziff. 3) ergänzt die Verwaltung, dass die im Rahmen der Kontrolle nachbelasteten Eintritte mit VIP- oder Skipässen als Gegenleistung für Leistungen der diese empfangenden Personen ausgerichtet wurden. Der Beschwerdeführer macht geltend, die VIP-Karte berechtige einzig zum Eintritt in ein spezielles Zuschauergelände, weitere Leistungen des Vereins seien damit nicht verbunden. Er ergänzt allerdings, es handle sich um eine Gesamtleistung, bzw. es habe der Eintritt als Hauptleistung, der Transport, die Verpflegungsleistung etc. als Nebenleistung zu gelten. Es ist tatsächlich nicht ersichtlich, welche weiteren Leistungen des Beschwerdeführers ausser der Zutrittsgewährung in das Spezialgelände, allfälliger Transportleistungen zum und vom Spezialgelände bzw. allenfalls noch Verpflegungsleistungen (im VIP-Sektor) damit abgegolten werden. Auch die Vorinstanz schweigt sich darüber aus, obwohl sie für steuerbegründene Tatsachen beweisbelastet ist (vgl. Archiv für Schweizerisches Abgaberecht [ASA] 60 S. 416; 59 S. 634; 55 S. 627; BGE 92 I 255 ff.; Ernst Blumenstein/Peter Locher, System des schweizerischen Steuerrechts, 6. Aufl., Zürich 2002, S. 454; Entscheid der SRK vom 18. November 2002, veröffentlicht in VPB 69.47 E.3b). Die verschiedenen Leistungskomponenten (Eintritt zur Sportveranstaltung, Transportleistung, Verpflegung etc.) sind in casu wirtschaftlich untrennbar miteinander verbunden. Fällt eine dieser Komponenten (und insbesondere der Eintritt zum Spezialgelände) weg, handelt es sich nicht mehr um einen VIP-Pass. Nach den massgeblichen tatsächlichen und wirtschaftlichen Verhältnissen wäre es folglich sachfremd, das Entgelt für die Komponenten aufzuteilen und mehrwertsteuerlich unterschiedlich zu behandeln. Wesensgehalt der Leistung macht der Eintritt zu den Skirennen aus, denn zum ersten gibt es diese VIP-Pässe offensichtlich nur während den Rennen und zweitens wird nur dem Inhaber eines solchen VIP-Passes der Zutritt zum speziellen Zuschauergelände gewährt. Die VIP-Pässe bilden somit eine Gesamtleistung und die Besteuerung der Gesamtleistung richtet sich nach der wesentlichen Komponente (vgl. oben E. 2.2), also dem Zutritt zur Sportveranstaltung. Damit erweist sich der Umsatz mit den VIP-Pässen als eine nach Art. 14 Ziff. 12 Bst. e MWSTV von der Mehrwertsteuer ausgenommene kulturelle Dienstleistung. Die Beschwerde ist in dieser Hinsicht gutzuheissen. Nicht anders stellt sich die Situation bei den Skipässen dar; diese dienen sowohl als Eintrittskarte zu den Skirennen als auch als Tageskarte zum Skilaufen. Offensichtlich und wesensgemäss können solche kombinierten Skipässe für Transportleistungen auf den Bahnen und zur Benützung der Skipisten einerseits und für die Verfolgung des Renngeschehens anderseits nur für die Dauer der Skirennen erworben werden. Es macht offensichtlich das Wesen dieses Skipasses aus, dass diese beiden Komponenten untrennbar miteinander verbunden sind. Daran ändert nichts, wenn der Eintritt zu den Rennen einerseits und das Skibillet für die Transporte in das Skigebiet anderseits auch separat gekauft werden können, denn der Käufer des Skipasses will ja gerade die Leistungen nicht separat, sondern als Ganzes in Anspruch nehmen. Diese Sicht des Verbrauchers ist bei den mehrwertsteuerlichen Beurteilungen zusammengesetzter Leistungen massgebend (E. 2.3). Insofern erscheint es nicht gerechtfertigt, die beiden Leistungskomponenten mehrwertsteuerlich getrennt zu beurteilen. Die beiden Leistungen stehen auch nicht in einem Verhältnis von Haupt- und Nebenleistung, bei der die Nebenleistung mehrwertsteuerrechtlich das Schicksal der Hauptleistung teilt (vgl. oben E. 2.3). So wäre nur im Einzelfall auszumachen, ob jemand als Zuschauer zum Skirennen kommt und nebenbei noch einen Tag selber Ski fährt, oder ob er zum Skifahren kommt und nebenbei noch das Skirennen verfolgt. Beide Leistungen stehen vielmehr als Gesamtleistung zueinander (Michaela Merz, in: Diego Clavadetscher/Pierre-Marie Glauser/Gerhard Schafroth, mwst.com, Basel 2000, Art. 36 Abs. 4 Rz. 3). Bei dieser Betrachtung kann auch der Wertanteil der beiden Leistungen nicht entscheidend sein. Es stellt sich vielmehr wieder die Frage, welche Komponente überwiegt, welche den Wesensgehalt der Gesamtleistung ausmacht. Da zum ersten - wie gesehen - der kombinierte Skipass seinem Wesen nach überhaupt nur während den Skirennen ausgehändigt wird, in der übrigen Zeit aber lediglich zum Transport auf den Anlagen und zur Nutzung der Skipisten berechtigendes Billets verkauft werden, und zum zweiten einen kombinierten Skipass nur kauft, wer eben auch die Rennen verfolgen möchte - sonst aber das normale und während des ganzen Winters erhältliche Skibillet erwerben würde -, macht der Eintritt zu den Rennen den Wesensgehalt der Gesamtleistung aus, was wiederum zur unechten Steuerbefreiung nach Art. 14 Bst. e MWSTV für die gesamte Leistung führt. Die Beschwerde ist auch in dieser Hinsicht gutzuheissen.</w:t>
      </w:r>
    </w:p>
    <w:p>
      <w:r>
        <w:rPr>
          <w:b/>
        </w:rPr>
        <w:t>E. 3.3</w:t>
      </w:r>
    </w:p>
    <w:p>
      <w:r>
        <w:t>Der Beschwerdeführer ist Abnehmer der Leistungen seiner (freiwilligen) Helfer. Er behauptet nicht, diese Helfer stünden in einem Arbeitsverhältnis zu ihm und die Verpflegungs- und Beherbergungskosten seien in Wahrheit Naturallohn (vgl. dazu Adrian Staehelin, Zürcher Kommentar, Zürich 2006, Art. 322 Rz. 2/3), der sozialversicherungsrechtlich abgerechnet würde (Camenzind/Honauer/Vallender, a.a.O. Rz. 227). Der Beschwerdeführer übernimmt deren Verpflegungs- und Beherbergungskosten. Zwischen der Finanzierung der Spesen durch den Beschwerdeführer und der Leistung der Helfer besteht somit ein ursächlicher Zusammenhang: Der Beschwerdeführer ersetzt diese Kosten dem einzelnen Helfer oder wendet sie für ihn auf, um dessen Leistung zu erhalten; die Kosten des Beschwerdeführers bilden also die Gegenleistung oder das Entgelt für die Leistung des betreffenden Helfers (E. 2.4; vgl. auch Merkblatt der ESTV Nr. 29 vom September 1998, Ziff. 2.2 und 2.3). Deshalb handelt es sich bei den Verpflegungs- und Beherbergungskosten, die der Beschwerdeführer für seine Helfer aufwendet, um zu versteuerndes Entgelt (Urteil des Bundesgerichts vom 9. April 2002, veröffentlicht in ASA 72 S. 483 ff., 492 E. 5.2; Ivo P. Baumgartner, in: mwst.com, a.a.O. Art. 33 Abs. 1 und 2 Rz. 15; Camenzind/Honauer/Vallender, a.a.O. Rz. 1165). Aus diesem Grund spielt es auch keine Rolle, ob - wie der Beschwerdeführer argumentiert - zwei unterschiedliche Leistungsaustauschverhältnisse bestehen, einerseits zwischen dem Hotelier und dem Helfer und anderseits zwischen dem Beschwerdeführer und dem Helfer. Im vorliegenden Fall ist lediglich zu beurteilen, ob die Kosten, die der Beschwerdeführer für die Leistung seiner Helfer aufwendet, Entgelt darstellen, das Bemessungsgrundlage der Mehrwertsteuer nach Art. 26 Abs. 2 MWSTV bildet, was - wie gesehen - zu bejahen ist. Der Beschwerdeführer bemängelt im Übrigen die Berechnung der Höhe dieser Kosten durch die Vorinstanz nicht. Die Beschwerde ist in diesem Punkt abzuweisen.</w:t>
      </w:r>
    </w:p>
    <w:p>
      <w:r>
        <w:rPr>
          <w:b/>
        </w:rPr>
        <w:t>E. 3.4</w:t>
      </w:r>
    </w:p>
    <w:p>
      <w:r>
        <w:t>Mit ausführlicher Begründung und mit Hinweisen auf Rechtsprechung und Lehre hat die SRK zur Verfassungsmässigkeit der Mehrwertsteuerverordnung im Speziellen zum Beginn und zur Beendigung der Mehrwertsteuerpflicht gemäss Art. 45 MWSTV Stellung genommen (Entscheid der SRK vom 12. Oktober 1999, veröffentlicht in VPB 64.48 E. 3; vgl. auch Urteil des Bundesgerichts 2A.569/2006 vom 28. Februar 2007 E. 3.1; Camenzind/Honauer/Vallender, a.a.O. Rz. 1140 ff.). Dabei wurde festgehalten, dass ein Unternehmer, der die massgebliche Umsatzgrenze nicht (mehr) erreicht und sich dennoch nicht bei der Verwaltung als Mehrwertsteuerpflichtiger abmeldet, weiterhin mehrwertsteuerpflichtig bleibt; er optiert nach Art. 45 Abs. 3 MWSTV für die Mehrwertsteuerpflicht (a.a.O. E. 4b und 4c/aa-cc). Diese Regelung ist insbesondere als Ausfluss des Selbstveranlagungsprinzips (vgl. Urteil des Bundesgerichts 2A.552/2006 vom 1. Februar 2007 E. 3.1) zu betrachten, wonach der Mehrwertsteuerpflichtige unter anderem dazu verpflichtet ist, der ESTV alle für die Mehrwertsteuerpflicht massgeblichen Tatsachen mitzuteilen, wozu auch die Angaben über den Beginn und das Ende der Mehrwertsteuerpflicht gehören (Art. 45 Abs. 2 MWSTV). Dem Beschwerdeführer ist nicht zuzustimmen, dass darin eine unzulässige Überdehnung des Prinzips der Selbstveranlagung erblickt werden kann. Ebenso wenig kann den Quartalsabrechnungen des Beschwerdeführers die Qualität einer formellen Abmeldung zugesprochen werden. Die Quartalsabrechnungen gemäss Art. 36 Abs. 1 Bst. a MWSTV haben nicht die Bedeutung der formellen Abmeldung bei der Beendigung der Mehrwertsteuerpflicht. Ihnen kann insbesondere auch nicht entnommen werden, ob die für die Mehrwertsteuerpflicht massgebenden Beträge auch im nachfolgenden Kalenderjahr nicht überschritten werden (Art. 22 Bst. c MWSTV). Das Bundesverwaltungsgericht sieht daher keinen Anlass, von dieser Rechtsprechung abzuweichen. Der Beschwerdeführer bleibt auch für das Jahr 1997 mehrwertsteuerpflichtig, da er sich für jenes Jahr nicht ordentlich bei der Verwaltung als Mehrwertsteuerpflichtiger abgemeldet hat. Die Beschwerde ist auch in diesem Punkt abzuweisen.</w:t>
      </w:r>
    </w:p>
    <w:p>
      <w:r>
        <w:rPr>
          <w:b/>
        </w:rPr>
        <w:t>E. 4</w:t>
      </w:r>
    </w:p>
    <w:p>
      <w:r>
        <w:t>Die Beschwerde ist daher insgesamt im Sinne der Erwägungen teilweise gutzuheissen (E. 3.2), soweit darauf eingetreten wird. Bei diesem Ausgang des Verfahrens rechtfertigt es sich, die Verfahrenskosten dem Beschwerdeführer nach Art. 63 Abs. 1 VwVG teilweise im Umfang seines Unterliegens zu überbinden. Die Verfahrenskosten werden auf Fr. ... festgesetzt, dem Beschwerdeführer im Umfang von Fr. ... auferlegt und in diesem Teilbetrag mit dem geleisteten Kostenvorschuss von Fr. ... verrechnet (vgl. Art. 4 des Reglements vom 11. Dezember 2006 über die Kosten und Entschädigungen vor dem Bundesverwaltungsgericht (VGKE, SR 173.320.1). Der Überschuss von Fr. ... ist nach Eintritt der Rechtskraft des vorliegenden Urteils an den Beschwerdeführer zu erstatten. Der ESTV werden keine Verfahrenskosten auferlegt. Die ESTV hat dem Beschwerdeführer eine reduzierte Parteientschädigung von Fr. ... (einschliesslich Mehrwertsteuer und Auslagen) auszurichten (vgl. Art. 7 Abs. 1 und 2, Art. 8, 9 und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