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A-1428/2013 vom 14. Januar 2014</w:t>
      </w:r>
    </w:p>
    <w:p>
      <w:r>
        <w:t>Bundesverwaltungsgericht, 2014-01-14, DE</w:t>
      </w:r>
    </w:p>
    <w:p>
      <w:r>
        <w:rPr>
          <w:b/>
        </w:rPr>
        <w:t xml:space="preserve">Quelle: </w:t>
      </w:r>
      <w:r>
        <w:t>https://mcp.opencaselaw.ch/entscheid/bvger_A-1428_2013</w:t>
      </w:r>
    </w:p>
    <w:p>
      <w:r>
        <w:t>FR: TAF A-1428/2013 du 14 janvier 2014</w:t>
      </w:r>
    </w:p>
    <w:p>
      <w:r>
        <w:t>IT: TAF A-1428/2013 del 14 gennaio 2014</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 vgl. Urteile des Bundesverwaltungsgerichts A-3888/2013 vom 18. November 2013 E. 1.2, A-430/2012 vom 27. Juli 2012 E. 1.2).</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Urteile des Bundesverwaltungsgerichts A­3888/2013 vom 18. November 2013 E. 1.3, A-430/2012 vom 27. Juli 2012 E. 1.3, A­3626/2009 vom 7. Juli 2010 E. 1.2, A 7164/2007 vom 3. Juni 2010 E. 1.5, A-310/2009 vom 7. Mai 2010 E. 1.4).</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2.2.1</w:t>
      </w:r>
    </w:p>
    <w:p>
      <w:r>
        <w:t>Der Steuererlass stellt den Verzicht des Gemeinwesens auf einen ihm zustehenden steuerrechtlichen Anspruch dar, mit welchem das öffentliche Vermögen vermindert wird (Michael Beusch, Der Untergang der Steuerforderung, Zürich 2012, S. 188).</w:t>
      </w:r>
    </w:p>
    <w:p>
      <w:r>
        <w:rPr>
          <w:b/>
        </w:rPr>
        <w:t>E. 2.2.2</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auch bei Vorliegen einer Notlage (vgl. unten E. 2.6) von einem Erlass abgesehen werden muss, wenn die Mittel der steuerpflichtigen Person in absehbarer Zeit nicht zur Befriedigung der Gläubiger ausreichen werden. Bei einem Verzicht der Steuerbehörden würde in so einem Fall nämlich nicht sie selbst profitieren, sondern primär ihre übrigen Gläubiger, welche beim Zugriff auf das pfändbare Einkommen und Vermögen einen Konkurrenten verlieren würden. Dies widerspräche Ziel und Zweck des Steuererlasses (statt vieler: Urteile des Bundesverwaltungsgerichts A-3888/2013 vom 18. November 2013 E. 2.2.2, A-430/2012 vom 27. Juli 2012 E. 2.2.2, A­3232/2011 vom 23. April 2012 E. 2.2.2; vgl. Martin Zweifel/Hugo Casanova, Schweizerisches Steuerverfahrensrecht, Direkte Steuern, Zürich 2008, § 31 N. 16).</w:t>
      </w:r>
    </w:p>
    <w:p>
      <w:r>
        <w:rPr>
          <w:b/>
        </w:rPr>
        <w:t>E. 2.2.3</w:t>
      </w:r>
    </w:p>
    <w:p>
      <w:r>
        <w:t>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der Bundesverfassung der Schweizerischen Eidgenossenschaft vom 18. April 1999 [BV, SR 101]) muss der Steuererlass aber seltene Ausnahme bleiben, welche nur unter bestimmten Voraussetzungen gewährt werden kann (vgl. Michael Beusch, in: Zweifel/Athanas [Hrsg.], Kommentar zum Schweizerischen Steuerrecht, Bd. I/2a+b, 2. Aufl., Basel 2008 [Komm. DBG], N. 6 zu Art. 167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w:t>
      </w:r>
    </w:p>
    <w:p>
      <w:r>
        <w:rPr>
          <w:b/>
        </w:rPr>
        <w:t>E. 2.2.4</w:t>
      </w:r>
    </w:p>
    <w:p>
      <w:r>
        <w:t>Sind die objektiven (vgl. E. 2.3 f.) und subjektiven (vgl. E. 2.5 ff.) Voraussetzungen erfüllt, so besteht gemäss klarem Wortlaut von Art. 2 Abs. 1 Steuererlassverordnung und gemäss ständiger Rechtsprechung des Bundesverwaltungsgerichts ein öffentlich-rechtlicher Anspruch auf dessen Gewährung (vgl. BVGE 2009/45 E. 2.2; Urteile des Bundesverwaltungsgerichts A-3888/2013 vom 18. November 2013 E. 2.2.4, A­430/2012 vom 27. Juli 2012 E. 2.2.4, A 7668/2010 vom 22. September 2011 E. 2.2, A 5975/2007 vom 28. Juni 2010 E. 2.2, alle auch zum Folgenden).</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 des Bundesverwaltungsgerichts A 7164/2007 vom 3. Juni 2010 E. 2.3; vgl. Felix Richner/Walter Frei/Stefan Kaufmann/Hans Ulrich Meuter, Handkommentar zum DBG, 2. Aufl., Zürich 2009, N. 3 zu Art. 167 DBG; Beusch, Komm.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Komm. DBG, N. 13 zu Art. 167 DBG).</w:t>
      </w:r>
    </w:p>
    <w:p>
      <w:r>
        <w:rPr>
          <w:b/>
        </w:rPr>
        <w:t>E. 2.6.1</w:t>
      </w:r>
    </w:p>
    <w:p>
      <w:r>
        <w:t>Die erste im Gesetz genannte Voraussetzung - das Vorliegen einer Notlage - wird in Art. 9 Abs. 1 Steuererlassverordnung konkretisiert (BVGE 2009/45 E. 2.6, auch zum Folgenden).</w:t>
      </w:r>
    </w:p>
    <w:p>
      <w:r>
        <w:rPr>
          <w:b/>
        </w:rPr>
        <w:t>E. 2.6.2</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Komm. DBG, N. 14 zu Art. 167 DBG). Mögliche Ursachen für eine derartige Notlage werden beispielhaft in Art. 10 Abs. 1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Steuererlassverordnung). Weiter wird auch eine starke Überschuldung als Folge von ausserordentlichen Aufwendungen, die in den persönlichen Verhältnissen begründet sind und für die die steuerpflichtige Person nicht einzustehen hat, als Ursache genannt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in jedem Fall ausgeschlossen bzw. nur in demselben prozentualen Umfang möglich, wie andere Gläubiger ganz oder teilweise auf ihre Forderungen verzichten (Art. 10 Abs. 2 Steuererlassverordnung; vgl. auch Beusch, Komm. DBG, N. 15 f. zu Art. 167 DBG). Durch das Erfordernis eines gleichwertigen Verzichts der übrigen Gläubiger wird dem Grundsatz von Art. 1 Abs. 1 Steuererlassverordnung, wonach ein Steuererlass nicht den anderen Gläubigern zugutekommen darf, Rechnung getragen (vgl. E. 2.2.2). Bei einem gleichwertigen Verzicht tragen sämtliche Gläubiger gleichermassen zur Sanierung der wirtschaftlichen Lage des Schuldners bei, womit auch ausschliesslich dieser von einem Erlass profitiert.</w:t>
      </w:r>
    </w:p>
    <w:p>
      <w:r>
        <w:rPr>
          <w:b/>
        </w:rPr>
        <w:t>E. 2.6.4</w:t>
      </w:r>
    </w:p>
    <w:p>
      <w:r>
        <w:t>Die zu einem Erlass berechtigende Notlage setzt nicht voraus, dass die steuerpflichtige Person einen Anspruch auf Sozialhilfe hat oder sich gar auf das Recht auf Hilfe in Notlagen (Art. 12 BV) berufen können muss (vgl. Beusch, Komm.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A-3888/2013 vom 18. November 2013 E. 2.7.1, A-430/2012 vom 27. Juli 2012 E. 2.7.1, A-6866/2008 vom 2. März 2011 E. 2.8, A-4478/2009 vom 13. Juli 2010 E. 2.7.1; Zweifel/Casanova, a.a.O., § 31 N. 14).</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A-3888/2013 vom 18. November 2013 E. 2.7.2, A-430/2012 vom 27. Juli 2012 E. 2.7.2,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Entscheids, daneben auch die Entwicklung seit der Veranlagung, auf die sich das Erlassbegehren bezieht, sowie die Aussichten für die Zukunft (Art. 3 Abs. 1 Steuererlassverordnung; Richner/Frei/Kaufmann/Meuter, a.a.O., N. 22 zu Art. 167 DBG; Beusch, Komm. DBG, N. 27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3.1</w:t>
      </w:r>
    </w:p>
    <w:p>
      <w:r>
        <w:t>In seiner Eingabe 18. März 2013 verlangt der Beschwerdeführer sinngemäss eine Überprüfung des vorinstanzlichen Entscheids und die Aufhebung desselben.</w:t>
      </w:r>
    </w:p>
    <w:p>
      <w:r>
        <w:rPr>
          <w:b/>
        </w:rPr>
        <w:t>E. 3.2.1</w:t>
      </w:r>
    </w:p>
    <w:p>
      <w:r>
        <w:t>Mit Entscheid vom 28. Februar 2013 hat die EEK festgestellt, dass sich der Steuerpflichtige zwar in einer Notlage im Sinne von Art. 9 Abs. 1 Steuererlassverordnung befinde. Ein Steuererlass sei jedoch mangels aktenkundiger Forderungsverzichte oder sonstiger Sanierungsvereinbarungen betreffend Ansprüche von anderen Gläubigern ausgeschlossen. Es komme hinzu, dass die Erfüllung der vorliegenden Steuerschuld den Beschwerdeführer nicht in den Ruin treibe und zudem zur Zeit offen sei, ob sowie gegebenenfalls in welchem Umfang er Renten der Invalidenversicherung erhalten werde. Dem hält der Beschwerdeführer in seiner Beschwerdebegründung entgegen, es sei nicht nachzuvollziehen, weshalb ihm trotz des fehlenden Einkommens und einer lang andauernden Arbeitsunfähigkeit kein Steuererlass gewährt werde. Da ein finanzieller Ruin erwiesenermassen unmittelbar bevorstehe, sei eine Notlage gegeben. In ihrer Vernehmlassung vom 24. Juni 2013 hält die Vorinstanz an ihrer Auffassung fest. Ergänzend führt sie insbesondere aus, angesichts von Schulden in der Höhe von über Fr. 110'000.- würde ein Steuererlass keine wesentliche Verbesserung der wirtschaftlichen Situation des Beschwerdeführers bewirken.</w:t>
      </w:r>
    </w:p>
    <w:p>
      <w:r>
        <w:rPr>
          <w:b/>
        </w:rPr>
        <w:t>E. 3.2.2</w:t>
      </w:r>
    </w:p>
    <w:p>
      <w:r>
        <w:t>Gemäss den Angaben, welche der Beschwerdeführer im Zusammenhang mit seinem Gesuch um unentgeltliche Rechtspflege machte, verfügt er über kein monatliches Einkommen, erzielt seine Ehefrau ein Einkommen von rund Fr. 2'400.- (inkl. Kinderzulagen) und wird die Familie überdies von der Schwiegermutter mit einem monatlichen Betrag von rund Fr. 1'000.- unterstützt. Wie in der Zwischenverfügung des Bundesverwaltungsgerichts vom 21. Mai 2013 ausgeführt, wird die Richtigkeit der Angaben hinsichtlich des erzielten Einkommens aus Arbeitserwerb bzw. eines allfälligen Ersatzeinkommens durch die Schlussrechnung der Staats- und Gemeindesteuern 2012, das Lohnblatt der Ehefrau vom März 2013 sowie den Aussteuerungsbescheid an den Beschwerdeführer der Arbeitslosenkasse C._______ vom 18. Dezember 2012 gestützt. Mangels gegenteiliger Anhaltspunkte in den Akten ist davon auszugehen, dass diese Angaben nach wie vor zutreffen. Insbesondere besteht kein Anlass für die Annahme, dass dem Beschwerdeführer zwischenzeitlich Leistungen aus der Invalidenversicherung zugesprochen wurden. In Bezug auf seine Vermögensverhältnisse gab der Beschwerdeführer - ebenfalls im Kontext seines Gesuches um unentgeltliche Rechtspflege - an, über kein Vermögen zu verfügen, sondern vielmehr in der Höhe von Fr. 116'000.- verschuldet zu sein. Dabei legte er einen aktuellen Betreibungsregisterauszug vom 19. April 2013 bei, dem zu entnehmen ist, dass gegen ihn zwölf Verlustscheine im Gesamtbetrag von Fr. 113'315.60 offen sind. In der Schlussrechnung der Staats- und Gemeindesteuern 2012 ist in Überstimmung mit den Angaben des Beschwerdeführers kein Vermögen ausgewiesen. Auch ohne entsprechende Kontoauszüge ist vor diesem Hintergrund hinreichend belegt, dass der Beschwerdeführer über kein Vermögen verfügt (vgl. Zwischenverfügung des Bundesverwaltungsgerichts vom 21. Mai 2013). Mit Blick auf die aufgezeigten Einkommens- und Vermögensverhältnisse erscheint der Beschwerdeführer als offensichtlich nicht in der Lage, die für das Jahr 2003 geschuldete direkte Bundessteuer zu bezahlen. Dies ist zwischen den Parteien denn auch unbestritten.</w:t>
      </w:r>
    </w:p>
    <w:p>
      <w:r>
        <w:rPr>
          <w:b/>
        </w:rPr>
        <w:t>E. 3.2.3</w:t>
      </w:r>
    </w:p>
    <w:p>
      <w:r>
        <w:t>Das Bundesverwaltungsgericht verkennt nicht, dass die soeben dargelegte finanzielle Situation für den Beschwerdeführer belastend wirkt. Indessen muss aber auch berücksichtigt werden, dass der Beschwerdeführer erhebliche Schulden hat. Allein die auf Verlustscheine entfallenden, sich unbestrittenermassen aus Forderungen öffentlicher und teilweise privater Gläubiger zusammensetzenden Schulden belaufen sich auf insgesamt Fr. 113'315.60 (vgl. E. 3.2.2 hiervor und E. 4.3 des angefochtenen Entscheids). Es ist offensichtlich, dass ein Erlass der direkten Bundessteuer des Jahres 2003 nicht zu einer langfristigen und dauernden Sanierung der wirtschaftlichen Lage des Beschwerdeführers beitragen würde. Bei der genannten Schuldenlast ist selbst unter Berücksichtigung des Umstandes, dass dem Beschwerdeführer möglicherweise noch Leistungen aus der Invalidenversicherung zugesprochen werden, davon auszugehen, dass der beantragte Steuererlass einzig den übrigen Gläubigern zugutekommen würde. Denn es ist weder dargetan noch ersichtlich, dass diese Gläubiger auf ihre Forderungen verzichtet haben. Ihre Quote bei allfälligen Zahlungen des Schuldners würde sich somit durch den Steuererlass entsprechend erhöhen. In einem solchen Fall ist es dem Staat aufgrund des klaren Wortlauts von Art. 1 Abs. 1 Steuererlassverordnung sowie der ständigen Rechtsprechung (vgl. Urteile des Bundesverwaltungsgerichts A-3888/2013 vom 18. November 2013 E. 2.2.2 und E. 3.6, A­430/2012 vom 27. Juli 2012 E. 2.2.2 und E. 3.2.4; vorn E. 2.2.2) nicht möglich, auf den Bezug der Steuern zu verzichten.</w:t>
      </w:r>
    </w:p>
    <w:p>
      <w:r>
        <w:rPr>
          <w:b/>
        </w:rPr>
        <w:t>E. 3.2.4</w:t>
      </w:r>
    </w:p>
    <w:p>
      <w:r>
        <w:t>Angesichts der festgestellten Überschuldung des Beschwerdeführers ist ein Steuererlass ausgeschlossen.</w:t>
      </w:r>
    </w:p>
    <w:p>
      <w:r>
        <w:rPr>
          <w:b/>
        </w:rPr>
        <w:t>E. 4</w:t>
      </w:r>
    </w:p>
    <w:p>
      <w:r>
        <w:t>Nach dem Ausgeführten ist die Beschwerde abzuweisen. Bei diesem Verfahrensausgang wären dem Beschwerdeführer als unterliegender Partei grundsätzlich sämtliche Kosten für das Beschwerdeverfahren vor dem Bundesverwaltungsgericht aufzuerlegen (vgl. Art. 63 Abs. 1 VwVG). Weil ihm indessen mit Zwischenverfügung vom 21. Mai 2013 die unentgeltliche Rechtspflege gewährt wurde, sind keine Verfahrenskosten zu erheben.</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