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A-1417/2017 vom 9. März 2017</w:t>
      </w:r>
    </w:p>
    <w:p>
      <w:r>
        <w:t>Bundesverwaltungsgericht, 2017-03-09, DE</w:t>
      </w:r>
    </w:p>
    <w:p>
      <w:r>
        <w:rPr>
          <w:b/>
        </w:rPr>
        <w:t xml:space="preserve">Quelle: </w:t>
      </w:r>
      <w:r>
        <w:t>https://mcp.opencaselaw.ch/entscheid/bvger_A-1417_2017</w:t>
      </w:r>
    </w:p>
    <w:p>
      <w:r>
        <w:t>FR: TAF A-1417/2017 du 9 mars 2017</w:t>
      </w:r>
    </w:p>
    <w:p>
      <w:r>
        <w:t>IT: TAF A-1417/2017 del 9 marzo 2017</w:t>
      </w:r>
    </w:p>
    <w:p>
      <w:pPr>
        <w:pStyle w:val="Heading2"/>
      </w:pPr>
      <w:r>
        <w:t>Regeste</w:t>
      </w:r>
    </w:p>
    <w:p>
      <w:r>
        <w:t>Verfahrenskosten</w:t>
      </w:r>
    </w:p>
    <w:p>
      <w:pPr>
        <w:pStyle w:val="Heading2"/>
      </w:pPr>
      <w:r>
        <w:t>Erwägungen</w:t>
      </w:r>
    </w:p>
    <w:p>
      <w:r>
        <w:rPr>
          <w:b/>
        </w:rPr>
        <w:t>E. 1</w:t>
      </w:r>
    </w:p>
    <w:p>
      <w:r>
        <w:t>Die Kosten des Verfahrens A-6666/2014 werden auf Fr. 2'500.-- festgesetzt und der Beschwerdeführerin auferlegt. Der einbezahlte Kostenvorschuss von Fr. 2'500.-- wird zur Bezahlung dieser Kosten verwendet.</w:t>
      </w:r>
    </w:p>
    <w:p>
      <w:r>
        <w:rPr>
          <w:b/>
        </w:rPr>
        <w:t>E. 2</w:t>
      </w:r>
    </w:p>
    <w:p>
      <w:r>
        <w:t>Im Verfahren A-6666/2014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Michael Beusch Susanne Raas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