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A-140/2013 vom 15. August 2013</w:t>
      </w:r>
    </w:p>
    <w:p>
      <w:r>
        <w:t>Bundesverwaltungsgericht, 2013-08-15, DE</w:t>
      </w:r>
    </w:p>
    <w:p>
      <w:r>
        <w:rPr>
          <w:b/>
        </w:rPr>
        <w:t xml:space="preserve">Quelle: </w:t>
      </w:r>
      <w:r>
        <w:t>https://mcp.opencaselaw.ch/entscheid/bvger_A-140_2013</w:t>
      </w:r>
    </w:p>
    <w:p>
      <w:r>
        <w:t>FR: TAF A-140/2013 du 15 août 2013</w:t>
      </w:r>
    </w:p>
    <w:p>
      <w:r>
        <w:t>IT: TAF A-140/2013 del 15 agosto 2013</w:t>
      </w:r>
    </w:p>
    <w:p>
      <w:pPr>
        <w:pStyle w:val="Heading2"/>
      </w:pPr>
      <w:r>
        <w:t>Regeste</w:t>
      </w:r>
    </w:p>
    <w:p>
      <w:r>
        <w:t>Bahninfrastruktur</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sie von einer Vorinstanz nach Art. 33 VGG stammen und keine Ausnahme nach Art. 32 VGG vorliegt. Die angefochtene Verfügung ist ein zulässiges Anfechtungsobjekt und stammt von einer Behörde nach Art. 33 Bst. d VGG; eine Ausnahme nach Art. 32 VGG liegt nicht vor. Das Bundesverwaltungsgericht ist damit zur Beurteilung der vorliegenden Beschwerden zuständig.</w:t>
      </w:r>
    </w:p>
    <w:p>
      <w:r>
        <w:rPr>
          <w:b/>
        </w:rPr>
        <w:t>E. 1.2</w:t>
      </w:r>
    </w:p>
    <w:p>
      <w:r>
        <w:t>Streitgegenstand im Verfahren vor dem Bundesverwaltungsgericht ist das Rechtsverhältnis, das Gegenstand der angefochtenen Verfügung bildet, soweit es im Streit liegt (vgl. André Moser/Michael Beusch/Lorenz Kneubühler, Prozessieren vor dem Bundesverwaltungsgericht, Basel 2008, Rz. 2.8). Die Beschwerdeführende 1 beantragt in ihrem Gesuch vom 9. August 2012 an die Vorinstanz, sie sei wegen der sehr hohen Verkehrsbelastung der Bahnübergänge X._______, Y._______ und Z._______ und den daraus resultierenden grossen Staus in den Spitzenzeiten am Morgen und am Abend von der Pflicht gemäss der EBV, diese Bahnübergänge mit Schrankenanlagen zu sichern, zu dispensieren. Die Vorinstanz weist dieses Gesuch mit der angefochtenen Verfügung ab. Ihr abweisender Entscheid wird von den Beschwerdeführenden 1 und 2 hinsichtlich sämtlicher drei Bahnübergänge, mithin vollumfänglich, angefochten. Gegenstand des vorliegenden (vereinigten) Beschwerdeverfahrens bildet somit die Frage, ob die Vorinstanz es zu Recht abgelehnt hat, die Beschwerdeführende 1 wegen der erwähnten Verkehrssituation hinsichtlich dieser drei Bahnübergänge von der Sanierungspflicht zu befreien. Ob die Erstellung von Schrankenanlagen bei den Bahnübergängen X._______ und Y._______ baulich und betrieblich nicht umsetzbar ist, wie der Beschwerdeführende 2 in den Schlussbemerkungen als einziger der Beschwerdeführenden erstmalig und in Abweichung von der von der Beschwerdeführenden 1 eingereichten Studie der (...) vorbringt, ist für das vorliegende Verfahren daher ohne Belang. Diese Frage bildete nicht Gegenstand des Dispensationsgesuchs der Beschwerdeführenden 1; sie ist demnach auch nicht Gegenstand der dieses Gesuch abweisenden angefochtenen Verfügung und des vorliegenden Beschwerdeverfahrens.</w:t>
      </w:r>
    </w:p>
    <w:p>
      <w:r>
        <w:rPr>
          <w:b/>
        </w:rPr>
        <w:t>E. 1.3.1</w:t>
      </w:r>
    </w:p>
    <w:p>
      <w:r>
        <w:t>Zur Beschwerde ist nach Art. 48 VwVG berechtigt, wer vor der Vorinstanz am Verfahren teilgenommen oder keine Möglichkeit zur Teilnahme erhalten hat, durch die angefochtene Verfügung besonders berührt ist und ein schutzwürdiges Interesse an deren Aufhebung oder Änderung hat (Abs. 1). Beschwerdebefugt sind ferner Personen, Organisationen und Behörden, denen ein anderes Bundesgesetz dieses Recht einräumt (Abs. 2). Das allgemeine Beschwerderecht nach Art. 48 Abs. 1 VwVG ist zwar in erster Linie auf Privatpersonen zugeschnitten. Ein Gemeinwesen kann sich aber darauf berufen, wenn es durch die angefochtene Verfügung bzw. den angefochtenen Entscheid gleich oder ähnlich wie ein Privater oder aber in spezifischer Weise in der Wahrnehmung einer hoheitlichen Aufgabe betroffen wird und nicht bloss das allgemeine Interesse an der richtigen Rechtsanwendung geltend macht. Die Beschwerdebefugnis zur Durchsetzung hoheitlicher Anliegen setzt eine erhebliche Betroffenheit in wichtigen öffentlichen Interessen voraus; gestützt auf die allgemeine Legitimationsklausel von Art. 48 Abs. 1 VwVG dürfen Gemeinwesen nur restriktiv zur Beschwerdeführung zugelassen werden (vgl. zum Ganzen BGE 138 II 506 E. 2.1.1 m.w.H.; Urteil des Bundesgerichts 1C_395/2012 vom 23. April 2013 E. 2.3; Vera Marantelli-Sonanini/Said Huber, in: Waldmann/Weissenberger [Hrsg.], Praxiskommentar VwVG, Zürich 2009, Art. 48 Rz. 21).</w:t>
      </w:r>
    </w:p>
    <w:p>
      <w:r>
        <w:rPr>
          <w:b/>
        </w:rPr>
        <w:t>E. 1.3.2</w:t>
      </w:r>
    </w:p>
    <w:p>
      <w:r>
        <w:t>Die Beschwerdeführende 1 hat am Verfahren vor der Vorinstanz teilgenommen und wird durch die Abweisung ihres Gesuchs als materielle Verfügungsadressatin direkt beeinträchtigt. Sie ist demnach nach Art. 48 Abs. 1 VwVG ohne Weiteres zur Beschwerde befugt.</w:t>
      </w:r>
    </w:p>
    <w:p>
      <w:r>
        <w:rPr>
          <w:b/>
        </w:rPr>
        <w:t>E. 1.3.3</w:t>
      </w:r>
    </w:p>
    <w:p>
      <w:r>
        <w:t>Die Beschwerdeführenden 2, 3 und 4 sind Gemeinwesen, können sich für ihre Beschwerdelegitimation jedoch nicht auf eine Bestimmung im Sinne von Art. 48 Abs. 2 VwVG berufen. Sie sind daher nur beschwerdeberechtigt, wenn die Voraussetzungen für eine auf die allgemeine Legitimationsklausel von Art. 48 Abs. 1 VwVG gestützte Beschwerde erfüllt sind. Dies ist nachfolgend zu prüfen. Die drei Beschwerdeführenden nahmen am vorinstanzlichen Verfahren zwar nicht teil. Die Vorinstanz räumte ihnen indes, soweit ersichtlich, formell auch nicht die Möglichkeit ein, sich am Verfahren zu beteiligen. Dies, obschon ihr aufgrund des Dispensationsgesuchs und der diesem beiliegenden Unterlagen bekannt war, dass sie das Gesuch aus eigenen Interessen unterstützten, und sie zudem ihr gegenüber in keiner Weise auf eine Teilnahme am Verfahren verzichtetet hatten. Unter diesen Umständen kann ihnen nicht zum Vorwurf gemacht werden, dass sie sich am vor-instanzlichen Verfahren nicht beteiligten (vgl. BGE 129 II 286 E. 4.3.3 m.w.H.; Urteil des Bundesgerichts 4A_387/2012 vom 9. Oktober 2012 E. 4 m.w.H. [zur Folge eines ausdrücklichen Verzichts]; Marantelli-Sonanini/Huber, a.a.O., Art. 48 Rz. 22 f.). Vielmehr sind sie als formell beschwert im Sinne von Art. 48 Abs. 1 Bst. a VwVG zu betrachten. Der Beschwerdeführende 2 begründet seine Beschwerde hinsichtlich der Bahnübergänge X._______ und Y._______ im Wesentlichen mit der als Folge von deren Sanierung mit Schrankenanlagen erwarteten Einschränkung der Leistungsfähigkeit der betroffenen, stark belasteten Verkehrsknoten und den daraus resultierenden negativen Auswirkungen auf den Individual- und den öffentlichen Verkehr (insbesondere Staus; vgl. Bst. C und J). Die befürchteten erheblichen Folgen betreffen mit der Leistungsfähigkeit des Kantonsstrassennetzes in der Region (...) sowie der Zuverlässigkeit und Attraktivität des tangierten öffentlichen Verkehrs wichtige öffentliche Interessen, denen er im Rahmen seiner hoheitlichen Befugnisse, namentlich als Verantwortlicher für das Kantonsstrassennetz, Rechnung zu tragen hat. Er erscheint daher insoweit als durch die angefochtene Verfügung im dargelegten Sinn (vgl. E. 1.3.1) materiell beschwert und entsprechend zur Beschwerde legitimiert. Ob dies auch hinsichtlich des Bahnübergangs Z._______ gilt, ist fraglich, geht der Beschwerdeführende 2 doch davon aus, dessen Nachrüstung mit einer Schrankenanlage sei ohne gravierende Nachteile möglich. Da die die Beschwerde abzuweisen ist (vgl. E. 3), erscheint es indes vertretbar, den Beschwerdeführenden 2 ohne weitere Prüfung auch in dieser Hinsicht als legitimiert zu betrachten. Die Beschwerdeführenden 3 und 4 berufen sich zur Begründung ihrer Beschwerde hauptsächlich auf die als Folge der Sanierung des Bahnübergangs Y._______ mit einer Schrankenanlage erwartete erhebliche Einschränkung der Leistungsfähigkeit des stark belasteten Verkehrsknotens (...) und die daraus resultierenden negativen Auswirkungen auf den Individualverkehr (insbesondere Staus; vgl. Bst. E). Die befürchteten erheblichen Folgen betreffen wichtige öffentliche Anliegen, deren Wahrnehmung zu den hoheitlichen Aufgaben der beiden Beschwerdeführenden zählt, haben sie doch namentlich für den Schutz ihrer Einwohner vor Immissionen - hier vor solchen des Strassenverkehrs - besorgt zu sein (vgl. BGE 136 I 265 E. 1.4 m.w.H.) und sind sie zurzeit im Rahmen ihrer raumplanerischen Befugnisse offenbar damit beschäftigt, ihre Nutzungspläne zu überarbeiten. Betroffen wird zwar in erster Linie die Beschwerdeführende 3, auf deren Gemeindegebiet sich flächenmässig der grösste Teil des Verkehrsknotens befindet, in geringerem Ausmass aber auch die Beschwerdeführende 4. Es erscheint deshalb gerechtfertigt, beide Beschwerdeführende, auf jeden Fall aber die Beschwerdeführende 3, im Umfang ihrer Beschwerde, d.h. bezogen auf den Bahnübergang Y._______, als durch die angefochtene Verfügung im vorstehend dargelegten Sinn (vgl. E. 1.3.1) materiell beschwert und damit zur Beschwerde legitimiert zu betrachten.</w:t>
      </w:r>
    </w:p>
    <w:p>
      <w:r>
        <w:rPr>
          <w:b/>
        </w:rPr>
        <w:t>E. 1.4</w:t>
      </w:r>
    </w:p>
    <w:p>
      <w:r>
        <w:t>Die drei Beschwerden wurden im Weiteren frist- und formgerecht eingereicht (vgl. Art. 50 Abs. 1 und 52 VwVG), weshalb auf sie einzutreten ist.</w:t>
      </w:r>
    </w:p>
    <w:p>
      <w:r>
        <w:rPr>
          <w:b/>
        </w:rPr>
        <w:t>E. 2.1</w:t>
      </w:r>
    </w:p>
    <w:p>
      <w:r>
        <w:t>Gemäss Art. 17 Abs. 4 des Eisenbahngesetzes vom 20. Dezember 1957 (EBG, SR 742.101) sind die Eisenbahnunternehmen für den sicheren Betrieb der Eisenbahnanlagen und Fahrzeuge verantwortlich. Nach Art. 19 Abs. 1 EBG haben sie namentlich die Vorkehren zu treffen, die gemäss den Vorschriften des Bundesrats zur Sicherheit des Baus und Betriebs der Eisenbahn sowie zur Vermeidung der Gefahr für Personen und Sachen notwendig sind. Solche Vorschriften finden sich insbesondere in der gestützt auf Art. 17 Abs. 2 EBG erlassenen EBV. Gemäss Art. 5 Abs. 2 EBV kann die Vorinstanz in Einzelfällen Abweichungen von den Vorschriften dieser Verordnung und ihrer Ausführungsbestimmungen bewilligen, wenn der Gesuchsteller nachweist, dass die Interoperabilität im grenzüberschreitenden und im nationalen Verkehr dadurch nicht beeinträchtigt wird und entweder der gleiche Grad an Sicherheit gewährleistet ist (Bst. a) oder kein inakzeptables Risiko entsteht und alle verhältnismässigen risikoreduzierenden Massnahmen ergriffen werden (Bst. b). Nach der Übersicht der Vorinstanz vom 30. März 2010 über die wichtigsten Neuerungen / Änderungen der Revisionsrunde 2010 wird mit der zweiten Ausnahme das sogenannte ALARP-Prinzip ("as low as reasonably practicable") festgeschrieben. Dies soll in Fällen, in denen bei bestehenden Anlagen eine vorschriftskonforme Lösung zu unverhältnismässigen Kosten führt, eine differenzierte, auf den Einzelfall zugeschnittene Berücksichtigung von Verhältnismässigkeitsargumenten ermöglichen (vgl. S. 1).</w:t>
      </w:r>
    </w:p>
    <w:p>
      <w:r>
        <w:rPr>
          <w:b/>
        </w:rPr>
        <w:t>E. 2.2</w:t>
      </w:r>
    </w:p>
    <w:p>
      <w:r>
        <w:t>Die Sicherung und Signalisation von Bahnübergängen wird im 6. Abschnitt der EBV in den Art. 37 ff. geregelt. Nach Art. 37c Abs. 1 EBV sind an Bahnübergängen grundsätzlich Schranken- oder Halbschrankenanlagen zu erstellen. Ausgenommen davon sind Bahnübergänge, die ausschliesslich für Rangierbewegungen benützt oder nach den Bestimmungen über den Strassenbahnbetrieb befahren werden. Bei diesen ist das Signal "Strassenbahn" anzubringen und wenn nötig mit Lichtsignalanlagen zu ergänzen (vgl. Art. 37c Abs. 5 EBV). Nach Art. 37c Abs. 3 EBV sind zudem bei weiteren Bahnübergängen Ausnahmen von der Pflicht zur Erstellung von Schranken- oder Halbschrankenanlagen möglich. Die möglichen Ausnahmen betreffen neben Bahnübergängen, bei denen das Anbringen solcher Anlagen unverhältnismässige Aufwendungen bedingen würde (Bst. a), Bahnübergänge, die nicht oder bloss schwach mit Strassenverkehr belastet sind und - teilweise - gewisse weitere Kriterien erfüllen (Bst. b, bbis und c). Welche Sicherungsmassnahmen anstelle der Erstellung einer Schranken- oder Halbschrankenanlage zu ergreifen sind, wird je nach Ausnahmetatbestand unterschiedlich geregelt. So kann etwa in den Fällen gemäss Bst. c das Anbringen eines Andreaskreuzes als einzige Sicherungsmassnahme genügen. Nach Art. 37f Abs. 1 EBV sind Bahnübergänge, die der EBV - und damit namentlich Art. 37c EBV - nicht entsprechen, aufzuheben oder bis spätestens Ende 2014 anzupassen.</w:t>
      </w:r>
    </w:p>
    <w:p>
      <w:r>
        <w:rPr>
          <w:b/>
        </w:rPr>
        <w:t>E. 3</w:t>
      </w:r>
    </w:p>
    <w:p>
      <w:r>
        <w:t>Wie dargelegt (vgl. E. 1.2), bildet Gegenstand des vorliegenden (vereinigten) Beschwerdeverfahrens (einzig) die Frage, ob die Vorinstanz den Gesuchsantrag der Beschwerdeführenden 1, sie sei wegen der erwähnten Verkehrssituation hinsichtlich der Bahnübergänge X._______, Y._______ und Z._______ von der Sanierungspflicht gemäss Art. 37f Abs. 1 i.V.m. Art. 37c Abs. 1 EBV zu dispensieren, zu Recht abgewiesen hat. Dies ist nachfolgend zu prüfen.</w:t>
      </w:r>
    </w:p>
    <w:p>
      <w:r>
        <w:rPr>
          <w:b/>
        </w:rPr>
        <w:t>E. 3.1</w:t>
      </w:r>
    </w:p>
    <w:p>
      <w:r>
        <w:t>Eine Ausnahmebewilligung liegt vor, wenn von der im Normalfall geltenden Regelung - insbesondere von einer polizeilichen Vorschrift - in einzelnen Sonderfällen gestützt auf eine gesetzliche Ermächtigung abgewichen werden darf. Eine Ausnahmebewilligung darf somit nur erteilt werden, wenn ein Gesetz oder eine gestützt auf ein Gesetz erlassene Verordnung dies ausdrücklich vorsieht. Zudem muss eine Ausnahme-situation vorliegen, die nach dieser Regelung eine Abweichung rechtfertigt. Die rechtsanwendende Behörde hat bei der Bewilligung der Ausnahme überdies die mit der generellen Regelung verfolgte Absicht weiterzuführen und im Hinblick auf die Besonderheiten des Ausnahmefalls auszugestalten (vgl. zum Ganzen Ulrich Häfelin/Georg Müller/Felix Uhlmann, Allgemeines Verwaltungsrecht, 6. Aufl., Zürich 2010, Rz. 2538 ff.).</w:t>
      </w:r>
    </w:p>
    <w:p>
      <w:r>
        <w:rPr>
          <w:b/>
        </w:rPr>
        <w:t>E. 3.2</w:t>
      </w:r>
    </w:p>
    <w:p>
      <w:r>
        <w:t>Die Beschwerdeführenden nennen als Grund für die Dispensation der Beschwerdeführenden 1 von der Sanierungspflicht gemäss Art. 37f Abs. 1 i.V.m. Art. 37c Abs. 1 EBV zwar im Wesentlichen die Einschränkung der Leistungsfähigkeit der stark belasteten Verkehrsknoten (...) (Bahnübergang X._______) und (...) (Bahnübergang Y._______) durch eine Sicherung dieser beiden Bahnübergänge mit einer Schranken- oder Halbschrankenanlage und die daraus resultierenden negativen Auswirkungen auf den Individual- und den öffentlichen Verkehr (vgl. Bst. A, C, D, E; E. 1.2 und 1.3.3). Inwiefern ein Gesetz oder eine auf ein Gesetz gestützte Verordnung bei Vorliegen einer solchen Situation die geforderten Dispensation vorsieht, erläutern sie allerdings nicht. Solches ist denn auch nicht ersichtlich. Insbesondere betreffen weder die Ausnahmetatbestände von Art. 37c Abs. 3 und 5 EBV noch die allgemeinen Ausnahmetatbestände von Art. 5 Abs. 2 EBV eine solche Situation (vgl. E. 2). Ebenso wenig besteht eine anderweitige rechtliche Grundlage, die die Vorinstanz ermächtigen würde, bei Vorliegen einer solchen Situation eine Dispensation von der erwähnten Sanierungspflicht zu gewähren. Für die geforderte Dispensation mangelt es somit - wie letztlich implizit auch die Vorinstanz geltend macht (vgl. Bst. B und H) - bereits an der erforderlichen rechtlichen Grundlage.</w:t>
      </w:r>
    </w:p>
    <w:p>
      <w:r>
        <w:rPr>
          <w:b/>
        </w:rPr>
        <w:t>E. 3.3</w:t>
      </w:r>
    </w:p>
    <w:p>
      <w:r>
        <w:t>Die verlangte Dispensation ist im Weiteren - wie die Vorinstanz zutreffend vorbringt (vgl. Bst. B und H) - auch nicht mit der Zielsetzung der Regelung von Art. 37 ff. EBV bzw. mit der dieser zugrunde liegenden Interessenabwägung vereinbar. Aus Art. 37c EBV (vgl. dazu E. 2.2) geht klar hervor, dass der Verordnungsgeber eine hohe bzw. nicht mehr schwache Belastung von Bahnübergängen mit Strassenverkehr, wie sie bei den Bahnübergängen X._______, Y._______ und Z._______ unbestrittenermassen besteht, gerade als massgebliches Kriterium für - und nicht gegen - eine Sicherung mit Schranken- oder Halbschrankenanlagen betrachtete. So besteht nach dieser Bestimmung bei Bahnübergängen mit einer entsprechenden Verkehrsbelastung nur dann eine Ausnahme von der Pflicht zur Erstellung solcher Anlagen, wenn sie ausschliesslich für Rangierbewegungen benützt oder nach den Bestimmungen über den Strassenbahnbetrieb befahren werden (vgl. Abs. 1 i.V.m. Abs. 5). Eine Ausnahme ist zudem möglich, wenn das Anbringen solcher Anlagen unverhältnismässige Aufwendungen bedingen würde (vgl. Abs. 3 Bst. a). Ansonsten kommt ein Verzicht auf solche Anlagen nur bei Bahnübergängen mit keinem oder schwachem Strassenverkehr in Frage (vgl. Abs. 3 Bst. b, bbis und c). Da dem Verordnungsgeber bewusst gewesen sein muss, dass die Leistungsfähigkeit allfälliger betroffener Verkehrsknoten bei Bahnübergängen mit einer hohen bzw. nicht mehr schwachen Belastung mit Strassenverkehr durch die grundsätzlich verlangten Schranken- oder Halbschrankenanlagen beeinträchtigt werden könnte, ist davon auszugehen, dass er dies in Kauf nahm. Er räumte damit dem Anliegen der Verkehrssicherheit bei solchen Bahnübergängen gegenüber dem Interesse an der Leistungsfähigkeit allfälliger betroffener Verkehrsknoten und damit zusammenhängenden Interessen grundsätzlich (vgl. den nachfolgenden Absatz) Vorrang ein. Dass diese Regelung willkürlich wäre oder sonst wie gegen höherrangiges Recht verstossen würde, wird von den Beschwerdeführenden zu Recht nicht geltend gemacht. So erscheint insbesondere das Ausmass der Belastung der Bahnübergänge mit Strassenverkehr als sachgerechtes Kriterium, um deren Gefahrenpotential und die Erforderlichkeit von Schranken- oder Halbschrankenanlagen zu bestimmen. Wie die Vorinstanz richtig ausführt (vgl. Bst. H), kann dem Interesse an der Leistungsfähigkeit allfälliger betroffener Verkehrsknoten und damit zusammenhängenden Interessen zudem - auch im vorliegenden Fall - grundsätzlich dadurch Rechnung getragen werden, dass die an sich mit Schranken- oder Halbschrankenanlagen zu sichernden Bahnübergänge im Strassenbahnbetrieb befahren werden. Soweit dies zu Nachteilen für den Bahnbetrieb führt, die trotz zweckdienlicher Anstrengungen nicht vermieden werden können, sind sie - auch im vorliegenden Fall - als Folge der zulässigen Bevorzugung der Verkehrssicherheit durch den Verordnungsgeber ebenso hinzunehmen wie weitere, im Zusammenhang mit dieser Bevorzugung entstehende Nachteile.</w:t>
      </w:r>
    </w:p>
    <w:p>
      <w:r>
        <w:rPr>
          <w:b/>
        </w:rPr>
        <w:t>E. 3.4</w:t>
      </w:r>
    </w:p>
    <w:p>
      <w:r>
        <w:t>Zusammenfassend ist damit festzuhalten, dass hinsichtlich der Bahnübergänge X._______, Y._______ und Z._______ wegen der erwähnten Verkehrssituation keine Dispensation der Beschwerdeführenden 1 von der Sanierungspflicht gemäss Art. 37f Abs. 1 i.V.m. Art. 37c Abs. 1 EBV möglich ist. Die Vorinstanz hat dem Dispensationsgesuch der Beschwerdeführenden 1 folglich zu Recht nicht stattgegeben. Die gegen ihren Entscheid gerichteten Beschwerden sind daher abzuweisen.</w:t>
      </w:r>
    </w:p>
    <w:p>
      <w:r>
        <w:rPr>
          <w:b/>
        </w:rPr>
        <w:t>E. 4.1</w:t>
      </w:r>
    </w:p>
    <w:p>
      <w:r>
        <w:t>Bei diesem Ergebnis gelten die Beschwerdeführenden als unterliegend. Die Beschwerdeführenden 2, 3 und 4 haben allerdings keine Verfahrenskosten zu tragen, da sich der vorliegende Streit nicht um ihre vermögensrechtlichen Interessen dreht (vgl. Art. 63 Abs. 2 VwVG). Die Verfahrenskosten sind demnach auf Fr. 3'000.-- festzusetzen und der Beschwerdeführenden 1 aufzuerlegen (vgl. Art. 63 Abs. 1 VwVG i.V.m. Art. 1 ff. des Reglements vom 21. Februar 2008 über die Kosten und Entschädigungen vor dem Bundesverwaltungsgericht [VGKE, SR 173.320.2]). Dieser Betrag ist mit dem von ihr geleisteten Kostenvorschuss in gleicher Höhe zu verrechnen.</w:t>
      </w:r>
    </w:p>
    <w:p>
      <w:r>
        <w:rPr>
          <w:b/>
        </w:rPr>
        <w:t>E. 4.2</w:t>
      </w:r>
    </w:p>
    <w:p>
      <w:r>
        <w:t>Die obsiegende Vorinstanz hat als Bundesbehörde keinen Anspruch auf eine Parteientschädigung (vgl. Art. 7 Abs. 3 VGKE). Den unterliegenden Beschwerdeführenden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