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A-1406/2006 vom 30. Januar 2008</w:t>
      </w:r>
    </w:p>
    <w:p>
      <w:r>
        <w:t>Bundesverwaltungsgericht, 2008-01-30, DE</w:t>
      </w:r>
    </w:p>
    <w:p>
      <w:r>
        <w:rPr>
          <w:b/>
        </w:rPr>
        <w:t xml:space="preserve">Quelle: </w:t>
      </w:r>
      <w:r>
        <w:t>https://mcp.opencaselaw.ch/entscheid/bvger_A-1406_2006</w:t>
      </w:r>
    </w:p>
    <w:p>
      <w:r>
        <w:t>FR: TAF A-1406/2006 du 30 janvier 2008</w:t>
      </w:r>
    </w:p>
    <w:p>
      <w:r>
        <w:t>IT: TAF A-1406/2006 del 30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Verordnung vom 29. März 2000 zum Bundesgesetz über die Mehrwertsteuer (MWSTGV, SR 641.201) in Kraft getreten. Der zu beurteilende Sachverhalt hat sich indessen in den Jahren 1999 und 2000 zugetragen. Auf die vorliegende Beschwerde ist damit grundsätzlich noch altes Recht anwendbar (Art. 93 und 94 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 des Bundesverwaltungsgerichts A-1398/2006 vom 19. Juli 2007 E. 2.1 und A-1535/2006 vom 14. März 2007 E. 2.1; Entscheide der SRK vom 10. Mai 2005 [SRK 2004-023] E. 1b, vom 24. Oktober 2005, veröffentlicht in Verwaltungspraxis der Bundesbehörden [VPB] 70.41 E. 2d/cc, vom 14. Mai 2003, veröffentlicht in VPB 67.122 E. 2c/cc).</w:t>
      </w:r>
    </w:p>
    <w:p>
      <w:r>
        <w:rPr>
          <w:b/>
        </w:rPr>
        <w:t>E. 2.1</w:t>
      </w:r>
    </w:p>
    <w:p>
      <w:r>
        <w:t>Die Veranlagung und Entrichtung der Mehrwertsteuer erfolgt nach dem Selbstveranlagungsprinzip (Art. 37 f. MWSTV;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vom 18. September 1998, veröffentlicht in VPB 63.80 E. 2a, vom 25. August 1998, veröffentlicht in VPB 63.27 E. 3a; vgl. auch den Entscheid der SRK [zum MWSTG] vom 19. Mai 2004, veröffentlicht in VPB 68.131 E. 2b; vgl. auch Urteil des Bundesverwaltungsgerichts A-1398/2006 vom 19. Juli 2007 E. 2.2).</w:t>
      </w:r>
    </w:p>
    <w:p>
      <w:r>
        <w:rPr>
          <w:b/>
        </w:rPr>
        <w:t>E. 2.2</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1997), Gebrauch gemacht. In der Wegleitung 1997 sind genauere Angaben enthalten, wie eine Buchhaltung auszugestalten ist (Rz. 870 ff.; vgl. auch Rz. 878 ff. der im Sommer 2000 erschienenen und ab dem 1. Januar 2001, das heisst dem Datum des Inkrafttretens des Mehrwertsteuergesetzes, gültigen Wegleitung 2001 zur Mehrwertsteuer).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Das Bundesgericht hat (bereits unter dem Warenumsatzsteuerrecht) entschieden, dass der Steuerpflichtige selbst bei geringem Barverkehr zur Führung zumindest eines einfachen ordentlichen Kassabuches verpflichtet ist. Er ist zwar mehrwertsteuerlich nicht gehalten, kaufmännische Bücher im Sinne des Handelsrechts zu führen; die Bücher müssen die erzielten Umsätze jedoch lückenlos erfassen und die entsprechenden Belege sind aufzuheben (Urteil des Bundesverwaltungsgerichts A-1398/2006 vom 19. Juli 2007 E. 2.3; Archiv für Schweizerisches Abgaberecht [ASA] 73 S. 233 E. 2c/aa, mit Hinweisen; vgl. auch VPB 63.27 E. 3b, mit weiteren Hinweisen. Damit befinden sich die mehrwertsteuerlichen Anforderungen an die Aufzeichnungspflicht auch im Einklang mit den bei den direkten Steuern geltenden Regelungen (vgl. auch Rz. 877 der Wegleitung 1997).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 des Bundesgerichts 2A.657/2005 vom 9. Juni 2006 E. 3 sowie Urteile des Bundesverwaltungsgerichts A-1398/2006 vom 19. Juli 2007 E. 2.3 sowie A-1454/2006 vom 26. September 2007 E. 2.3).</w:t>
      </w:r>
    </w:p>
    <w:p>
      <w:r>
        <w:rPr>
          <w:b/>
        </w:rPr>
        <w:t>E. 2.3</w:t>
      </w:r>
    </w:p>
    <w:p>
      <w:r>
        <w:t>Nach Art. 48 MWSTV nimmt die ESTV eine Schätzung nach pflichtgemässem Ermessen vor, wenn keine oder nur unvollständige Aufzeichnungen vorliegen oder die ausgewiesenen Ergebnisse mit dem wirklichen Sachverhalt offensichtlich nicht übereinstimmen. Dabei hat die Verwaltung diejenige Schätzungsmethode zu wählen, die den individuellen Verhältnissen im Betrieb der Mehrwertsteuerpflichtigen soweit als möglich Rechnung trägt, auf plausiblen Angaben beruht und deren Ergebnis der wirklichen Situation möglichst nahe kommt (Urteil des Bundesgerichts 2A.253/2005 vom 3. Februar 2006 E. 4.1; Entscheid der SRK vom 24. Oktober 2005, veröffentlicht in VPB 70.41 E. 2d/aa;). In Betracht fallen einerseits Methoden, die auf eine Ergänzung oder Rekonstruktion der ungenügenden Buchhaltung hinauslaufen, andererseits Umsatzschätzungen aufgrund unbestrittener Teil-Rechnungsergebnisse in Verbindung mit Erfahrungssätzen (Urteile des Bundesverwaltungsgerichts A-1356 vom 21. Mai 2007 E. 2.5, A-1398/2006 vom 19. Juli 2007 E. 2.4 und A-1454/2006 vom 26. September 2007 E. 2.6.1; Entscheid der SRK vom 24. Oktober 2005, veröffentlicht in VPB 70.41 E. 2d/aa und E. 4e.bb.aaa sowie vom 12. August 2002, veröffentlicht in ASA 73 S. 228 E. 2c/aa, mit weiteren Hinweisen; vgl. zum Ganzen auch Pascal Mollard, TVA et taxation par estimation, ASA 69 S. 526 ff.). Die brauchbaren Teile der Buchhaltung und allenfalls vorhandene Belege sind soweit als möglich bei der Schätzung mitzuberücksichtigen. Sie können durchaus als Basiswerte der Ermessenstaxation fungieren (vgl. Hans Geber, Die Steuerschätzung [Veranlagung nach Ermessen], in Steuer Revue [StR] 1980, S. 307). Selbst eine formell einwandfreie Buchführung kann die Durchführung einer Schätzung erfordern, wenn die in den Büchern enthaltenen Geschäftsergebnisse von den Erfahrungszahlen wesentlich abweichen, vorausgesetzt die Steuerpflichtige ist nicht in der Lage, allfällige besondere Umstände, auf Grund welcher diese Abweichung erklärt werden kann, nachzuweisen oder zumindest glaubhaft zu machen (Urteil des Bundesgerichts vom 28. August 1985, veröffentlicht in ASA 58 380 E. 3; Urteil des Bundesverwaltungsgerichts A-1397/2006 vom 19. Juli 2007 E. 2.4; Entscheid der SRK 2003-094 vom 10. August 2005 E. 2d).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2A.148/2000 vom 1. November 2000 E. 5b, betreffend die Warenumsatzsteuer).</w:t>
      </w:r>
    </w:p>
    <w:p>
      <w:r>
        <w:rPr>
          <w:b/>
        </w:rPr>
        <w:t>E. 2.4</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(Urteile des Bundesverwaltungsgerichts A-1398/2006 vom 19. Juli 2007 E. 2.5.2 und A-1454/2006 vom 26. September 2007 E. 2.6.2; Entscheide der SRK vom 5. Januar 2000, veröffentlicht in VPB 64.83 E. 3b, vom 25. August 1998, veröffentlicht in VPB 63.27 E. 5c/aa und vom 24. Oktober 2005, veröffentlicht in VPB 70.41 E. 2d/bb).</w:t>
      </w:r>
    </w:p>
    <w:p>
      <w:r>
        <w:rPr>
          <w:b/>
        </w:rPr>
        <w:t>E. 2.5</w:t>
      </w:r>
    </w:p>
    <w:p>
      <w:r>
        <w:t>Wie die kantonalen Steuerbehörden die Situation eines Mehrwertsteuerpflichtigen bezüglich der direkten Steuern beurteilen, ist für die Beurteilung der mehrwertsteuerlichen Situation nicht massgebend. So ist bei einer Schätzung bezüglich der indirekten Steuern die Veranlagung zu den direkten Steuern nicht bindend (vgl. Urteile des Bundesgerichts 2A.222/2002 vom 4. September 2002 E. 3.4, vom 12. November 1998, veröffentlicht in ASA 68 S. 660; 42 S. 407; Urteil des Bundesverwaltungsgerichts A-1349/2006 vom 22. Mai 2007 E. 2.8 und 3.4 sowie Urteil der SRK vom 8. Oktober 2003, veröffentlicht in VPB 68.53 E. 6a, mit weiteren Hinweisen).</w:t>
      </w:r>
    </w:p>
    <w:p>
      <w:r>
        <w:rPr>
          <w:b/>
        </w:rPr>
        <w:t>E. 3</w:t>
      </w:r>
    </w:p>
    <w:p>
      <w:r>
        <w:t>Demnach ist zu untersuchen, ob die von der Beschwerdeführerin geführten Aufzeichnungen die ESTV berechtigten, eine Schätzung des von der Mehrwertsteuerpflichtigen tatsächlich erzielten Umsatzes vorzunehmen (E. 3.1). Falls dies zutrifft, ist zu prüfen, ob der Beschwerdeführerin der ihr obliegende Nachweis der Unrichtigkeit der Schätzung gelingt (E. 3.2).</w:t>
      </w:r>
    </w:p>
    <w:p>
      <w:r>
        <w:rPr>
          <w:b/>
        </w:rPr>
        <w:t>E. 3.1</w:t>
      </w:r>
    </w:p>
    <w:p>
      <w:r>
        <w:t>Laut Einspracheentscheid vom 24. November 2004 sah sich die ESTV insbesondere aufgrund folgender Mängel in den Geschäftsbüchern der Beschwerdeführerin gezwungen, die tatsächlich erzielten Umsätze kalkulatorisch zu ermitteln: a) Obwohl sowohl Einnahmen als auch Ausgaben teilweise bar abgewickelt wurden, wurde kein Kassabuch geführt; b) Im Jahr 2002 wurden zwei Bareinnahmen nachweislich weder verbucht noch deklariert; c) die Bruttogewinne der Jahre 2000 bis 2003 lagen weit unter dem im Geschäftsjahr 1998/99 ausgewiesenen Wert und unter dem Erfahrungswert der ESTV, was ebenfalls auf unverbuchte Umsätze hindeutet.</w:t>
      </w:r>
    </w:p>
    <w:p>
      <w:r>
        <w:rPr>
          <w:b/>
        </w:rPr>
        <w:t>E. 3.1.1</w:t>
      </w:r>
    </w:p>
    <w:p>
      <w:r>
        <w:t>Gemäss den Angaben der Beschwerdeführerin verfügt sie über ein Kassakonto in der Buchhaltung. Es sei ein Journal ("recettes et dépenses") geführt worden, das als Grundlage für die Buchhaltung gedient habe, aber nicht als eigentliches Kassabuch qualifiziert werden könne. Aufgrund dieser Angaben habe die Treuhänderin der Beschwerdeführerin das Kassakonto erstellt. Die Beschwerdeführerin weise nur einen geringen Barzahlungsverkehr auf. Anhand der vorhandenen Geschäftsdokumentation könne der Geschäftsverlauf nur mit geringem Mehraufwand zurückverfolgt werden, wie dies der Fall wäre, wenn sie über ein Kassabuch verfügen würde, das bis ins letzte Detail den Ansprüchen der ESTV genüge.</w:t>
      </w:r>
    </w:p>
    <w:p>
      <w:r>
        <w:rPr>
          <w:b/>
        </w:rPr>
        <w:t>E. 3.1.2</w:t>
      </w:r>
    </w:p>
    <w:p>
      <w:r>
        <w:t>Zu Recht bestreitet die Beschwerdeführerin nicht, dass sie in ihrem Unternehmen kein ordnungsgemässes Kassabuch geführt hat, indem keine Aufzeichnungen existieren, in welchen die Bareinnahmen und Barausgaben chronologisch und zeitgerecht aufgezeichnet wurden. Sie räumt ein, dass das Kassakonto durch die Treuhänderin nicht täglich, sondern erst nach Monaten und nicht "regelmässig" nachgeführt worden ist. Dazu kommt, dass anlässlich der Kontrolle für das Jahr 2002 - zwar nur zwei - unverbuchte Einnahmen festgestellt wurden und die Gesellschafter der Beschwerdeführerin häufig vom Postcheckkonto Geld bezogen haben, um auswärts eingenommene Mittagessen zu bezahlen. Unter diesen Umständen kann nicht die Rede davon sein, dass die Einnahmen und Ausgaben des Betriebes der Beschwerdeführerin von ihr selber oder von der von ihr beauftragten Treuhänderin zeitnah, lückenlos und in chronologischer Reihenfolge erfasst worden sind, wie dies die Wegleitung (vgl. E. 2.2) verlangt. Aufgrund dieser ungenügenden Buchführung konnte auch keine periodische Abstimmung der Kassensaldi mit dem Kassakonto vorgenommen werden. Dass überhaupt Kassastürze oder periodische Saldierungen vorgenommen wurden, wurde weder bei der Kontrolle noch im Einspracheverfahren noch im Beschwerdeverfahren behauptet und noch weniger nachgewiesen. Auch der Hinweis auf den geringen Barverkehr ist unbehelflich. Selbst bei geringem Barverkehr wäre die Beschwerdeführerin nach der in E. 2.2 dargelegten Rechtsprechung zur Führung zumindest eines einfachen ordentlichen Kassabuches verpflichtet gewesen; die Hinweise auf das Verhältnismässigkeitsprinzip und den geringen Mehraufwand für eine Rückverfolgung sind unbehelflich. Selbst wenn das Kassakonto als Kassabuch betrachtet werden könnte, steht fest, dass dieses nicht täglich, sondern nach eigenen Angaben der Beschwerdeführerin in unbestimmten längeren Zeitabschnitten durch die Treuhänderin nachgetragen wurde, was nach der zitierten Rechtsprechung ungenügend ist. Vorliegend scheint die Beschwerdeführerin die von ihr verlangte Kassabuchführung mit der Führung einer Betriebsrechnung oder Bilanz zu verwechseln. Indes genügen weder Aufzeichnungen, die bloss in längeren Zeitabständen erfolgen, noch eine regelmässige Führung von Betriebsrechnungen oder Bilanzen den Anforderungen an eine ordentliche Kassabuchführung. Die Buchhaltung der Beschwerdeführerin weist somit schwere formelle Mängel auf, was die ESTV bereits berechtigt eine Ermessenstaxation vorzunehmen.</w:t>
      </w:r>
    </w:p>
    <w:p>
      <w:r>
        <w:rPr>
          <w:b/>
        </w:rPr>
        <w:t>E. 3.1.3</w:t>
      </w:r>
    </w:p>
    <w:p>
      <w:r>
        <w:t>Die ESTV hätte zwar unter diesen Voraussetzungen die materielle Richtigkeit der Buchhaltungsergebnisse nicht mehr überprüfen müssen. Sie legt aber trotzdem noch zusätzlich dar, dass die ausgewiesenen Ergebnisse mit den tatsächlich erzielten Umsätzen nicht übereinstimmen können. Dabei geht sie von Erfahrungszahlen aus, nach welchen der Bruttogewinn von Betrieben dieser Branche zwischen 40% und 45% beträgt, und weist darauf hin, dass die Buchhaltung der Beschwerdeführerin für das Geschäftsjahr 1998/99 einen Bruttogewinn von 41.2% ausweist. In den nachfolgenden vier Geschäftsjahren (2000 bis 2003) hat die Beschwerdeführerin massiv niedere Bruttogewinne ausgewiesen (zwischen 20.3% und 32.0%). Diese Abweichungen sind als wesentlich zu bezeichnen und lassen auch nach Auffassung des Bundesverwaltungsgerichts auf eine unvollständige Aufzeichnung der Umsätze schliessen. Auch diese Abweichungen würden für sich allein genommen die ESTV berechtigen, den effektiv durch die Beschwerdeführerin erzielten Umsatz bzw. die darauf entfallende Mehrwertsteuer durch eine Schätzung festzusetzen.</w:t>
      </w:r>
    </w:p>
    <w:p>
      <w:r>
        <w:rPr>
          <w:b/>
        </w:rPr>
        <w:t>E. 3.1.4</w:t>
      </w:r>
    </w:p>
    <w:p>
      <w:r>
        <w:t>Entgegen der Auffassung der Beschwerdeführerin kann somit nicht die Rede davon sein, dass die nicht verbuchten Bareingänge im Jahr 2002 (dazu im Sachverhalt A.) auslösendes Moment für die Ermessenseinschätzung sind, wobei anzumerken bleibt, dass die ESTV zu Recht festhält, dass diesbezüglich lediglich behauptet und nicht bewiesen sei, dass es sich dabei um Versehen gehandelt habe. Gesamthaft gesehen spielten diese fehlenden Buchungen keine entscheidende Rolle für den - gerechtfertigten - Entscheid der ESTV, die Geschäftsbücher der Beschwerdeführerin abzulehnen und die Umsätze auf dem Weg einer Ermessenstaxation zu ermitteln.</w:t>
      </w:r>
    </w:p>
    <w:p>
      <w:r>
        <w:rPr>
          <w:b/>
        </w:rPr>
        <w:t>E. 3.1.5</w:t>
      </w:r>
    </w:p>
    <w:p>
      <w:r>
        <w:t>Nicht beigepflichtet werden kann somit der Auffassung der Beschwerdeführerin, dass sich ein Abweichen von einer formell korrekten Abrechnung nach dem klaren Wortlaut von Art. 60 MWSTG (für den vorliegenden Fall wohl recte Art. 48 MWSTV) nur bei offensichtlich falschen Angaben rechtfertigt. Der Wortlaut erwähnt ebenso klar auch unvollständige Aufzeichnungen als selbständigen Grund für eine Ermessenseinschätzung.</w:t>
      </w:r>
    </w:p>
    <w:p>
      <w:r>
        <w:rPr>
          <w:b/>
        </w:rPr>
        <w:t>E. 3.2</w:t>
      </w:r>
    </w:p>
    <w:p>
      <w:r>
        <w:t>Die Beschwerdeführerin beanstandet die von der ESTV angewendeten Erfahrungswerte für die Ermittlung des Bruttogewinnes in Malerbetrieben wie dem ihren nicht zahlenmässig. Es kann deshalb darauf verzichtet werden, diese Erfahrungszahlen von der ESTV einzufordern. Hingegen ist die Beschwerdeführerin der Meinung, dass ihre individuellen Verhältnisse bei der vorgenommenen Ermessenseinschätzung ungenügend berücksichtigt worden seien. Dabei ist sie jedoch daran zu erinnern, dass sie nicht bloss die Unangemessenheit nachweisen müsste, sondern die Unrichtigkeit der Ermessenseinschätzung oder einen grösseren Ermessenfehler beweisen müsste (E. 2.4).</w:t>
      </w:r>
    </w:p>
    <w:p>
      <w:r>
        <w:rPr>
          <w:b/>
        </w:rPr>
        <w:t>E. 3.2.1</w:t>
      </w:r>
    </w:p>
    <w:p>
      <w:r>
        <w:t>Die ESTV hat bei der Umsatzschätzung die tatsächlich erzielten Umsätze auf Basis der von der Beschwerdeführerin verbuchten Materialaufwendungen und der geschätzten produktiven Löhne der beiden Gesellschafter der Mehrwertsteuerpflichtigen kalkulatorisch ermittelt. Konkret hat sie für diese beiden Personen einen so genannten produktiven Jahreslohn von je Fr. ..., mithin total Fr. ..., für die Mitarbeit im Malergeschäft eingesetzt. Bei der Festsetzung dieses Betrages orientierte sich die Verwaltung am Rahmenvertrag für das Maler- und Gipsergewerbe vom 29. Februar 2000, der in 20 Kantonen allgemein verbindlich erklärt worden ist. Die Verwaltung konnte zutreffend davon ausgehen, dass auch das Lohnniveau im Kanton A._______, einem Kanton für den zwar keine Allgemeinverbindlicherklärung jenes Rahmenvertrages ausgesprochen wurde, dem der anderen Kantone entspricht. Die Jahresmindestlöhne für qualifiziertes Personal im Malergewerbe liegen zwischen Fr. ... und Fr. ..., sodass der von der ESTV gewählte Ansatz auch berücksichtigt, dass die beiden Inhaber der Beschwerdeführerin in gewissem Umfang unproduktive Arbeiten (Einholen von Aufträgen, Erstellen von Offerten und Rechnungen, Büroarbeiten, etc.) erledigen müssen. Zu berücksichtigen ist auch, dass der von der ESTV ermittelte Lohn in den Jahren 2000 und 2001 ziemlich genau den in den Konten 4001 und 4002 ausgewiesenen Bezügen jedes der beiden Kollektivgesellschafter entspricht, während diese in den Jahren 2002 und 2003 bei ca. Fr. ... bzw. ca. Fr. ... lagen. Dazu wurden weitere Posten vom Unternehmen übernommen, so beispielsweise die vollen Sozialversicherungsbeiträge. Den so kalkulierten produktiven Inhaberlohn erachtet das Bundesverwaltungsgericht als weder übermässig noch willkürlich, so dass die von der Verwaltung angewandte Kalkulation im Rahmen der Schätzung nicht zu beanstanden ist.</w:t>
      </w:r>
    </w:p>
    <w:p>
      <w:r>
        <w:rPr>
          <w:b/>
        </w:rPr>
        <w:t>E. 3.2.2</w:t>
      </w:r>
    </w:p>
    <w:p>
      <w:r>
        <w:t>Die Beschwerdeführerin erhebt ferner den Einwand, die kantonale Steuerverwaltung habe bei der Veranlagung zu den direkten Steuern für das Jahr 2002 eine Schätzung des erzielten Umsatzes vorgenommen, dabei sei der produktive Jahreslohn nur auf insgesamt Fr. ... geschätzt worden. Dieser Einwand vermag jedoch nicht zu überzeugen. Die Veranlagung der kantonalen Steuerbehörden ist für die ESTV bezüglich der Mehrwertsteuer nicht massgeblich (E. 2.5), zumal diese, wie sich aus den eingereichten Veranlagungsverfügungen ergibt, zum Teil einfach die Zahlen aus den Geschäftsbüchern übernimmt. Dass diese Angaben aus mehrwertsteuerlicher Sicht nicht massgebend sind, wurde bereits ausgeführt.</w:t>
      </w:r>
    </w:p>
    <w:p>
      <w:r>
        <w:rPr>
          <w:b/>
        </w:rPr>
        <w:t>E. 3.2.3</w:t>
      </w:r>
    </w:p>
    <w:p>
      <w:r>
        <w:t>Auch die von der Beschwerdeführerin eingereichten Auswertungen ihrer eigenen und der Jahresrechnungen zweier weiterer Unternehmen (Beschwerdebeilagen 13 bis 15) sind nicht geeignet, die Unrichtigkeit der Ermessenseinschätzung bzw. einen grösseren Ermessensfehler der ESTV (dazu E. 2.4) zu beweisen, weil - wie die ESTV zu Recht anführt - die Vergleichbarkeit der Betriebe nicht dargelegt ist.</w:t>
      </w:r>
    </w:p>
    <w:p>
      <w:r>
        <w:rPr>
          <w:b/>
        </w:rPr>
        <w:t>E. 3.2.4</w:t>
      </w:r>
    </w:p>
    <w:p>
      <w:r>
        <w:t>Nicht zu hören ist ferner der Einwand der Beschwerdeführerin, dass ein Unternehmer, welcher die in die Berechnung einfliessenden Produktivitätsvorgaben der ESTV nicht erfülle, bestraft werde, indem er Mehrwertsteuer auf gar nicht erzielten Umsätzen zu bezahlen habe. Es bleibt daran zu erinnern, dass ein Unternehmer, der seinen Aufzeichnungspflichten vollständig nachkommt, keiner Ermessenseinschätzung unterliegt.</w:t>
      </w:r>
    </w:p>
    <w:p>
      <w:r>
        <w:rPr>
          <w:b/>
        </w:rPr>
        <w:t>E. 3.2.5</w:t>
      </w:r>
    </w:p>
    <w:p>
      <w:r>
        <w:t>Zusammenfassend ist festzuhalten, dass der Beschwerdeführerin der Beweis der Unrichtigkeit der Ermessenstaxation nicht gelungen ist.</w:t>
      </w:r>
    </w:p>
    <w:p>
      <w:r>
        <w:rPr>
          <w:b/>
        </w:rPr>
        <w:t>E. 3.3</w:t>
      </w:r>
    </w:p>
    <w:p>
      <w:r>
        <w:t>Was den Einwand der Beschwerdeführerin anbelangt, die Ermessensveranlagung verletze das verfassungsmässige Gebot der Besteuerung nach der wirtschaftlichen Leistungsfähigkeit, hat die SRK wiederholt entschieden, dass die Vorschriften der Mehrwertsteuerverordnung über die Buchführung (Art. 47 MWSTV) und über die Ermessenseinschätzung (Art. 48 MWSTV) sich direkt auf Art. 8 Abs. 1 der (alten) Übergangsbestimmungen der Bundesverfassung der Schweizerischen Eidgenossenschaft vom 29. Mai 1874, in Kraft bis zum 31. Dezember 1999 (aÜB-BV) stützen und dass diese Verfassungsnorm mangels weiterer Vorgaben einen sehr weiten Gestaltungsspielraum des Verordnungsgebers mit Bezug auf die Ermessenseinschätzung begründet (vgl. Entscheide der SRK vom 20. Februar 2006 [SRK 2004-054] E. 2b und vom 11. Juli 1996 [SRK 1995-023] E. 4b).</w:t>
      </w:r>
    </w:p>
    <w:p>
      <w:r>
        <w:rPr>
          <w:b/>
        </w:rPr>
        <w:t>E. 3.4</w:t>
      </w:r>
    </w:p>
    <w:p>
      <w:r>
        <w:t>Aus dem Gesagten ergibt sich, dass die Beschwerde somit vollumfänglich abzuweisen ist.</w:t>
      </w:r>
    </w:p>
    <w:p>
      <w:r>
        <w:rPr>
          <w:b/>
        </w:rPr>
        <w:t>E. 4</w:t>
      </w:r>
    </w:p>
    <w:p>
      <w:r>
        <w:t>Bei diesem Verfahrensausgang hat die Beschwerdeführerin nach Art. 63 Abs. 1 VwVG sämtliche Verfahrenskosten für das Beschwerdeverfahren vor dem Bundesverwaltungsgericht zu tragen. Diese werden nach Art. 4 des Reglements vom 11. Dezember 2006 über die Kosten und Entschädigungen vor dem Bundesverwaltungsgericht (VGKE, SR 173.320.2) auf Fr. ... festgesetzt und mit dem geleisteten Kostenvorschuss in derselben Höhe verrechnet. Der Beschwerdeführerin als Unterliegender steht keine Parteientschädigung zu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