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A-1399/2006 vom 6. Februar 2008</w:t>
      </w:r>
    </w:p>
    <w:p>
      <w:r>
        <w:t>Bundesverwaltungsgericht, 2008-02-06, DE</w:t>
      </w:r>
    </w:p>
    <w:p>
      <w:r>
        <w:rPr>
          <w:b/>
        </w:rPr>
        <w:t xml:space="preserve">Quelle: </w:t>
      </w:r>
      <w:r>
        <w:t>https://mcp.opencaselaw.ch/entscheid/bvger_A-1399_2006</w:t>
      </w:r>
    </w:p>
    <w:p>
      <w:r>
        <w:t>FR: TAF A-1399/2006 du 6 février 2008</w:t>
      </w:r>
    </w:p>
    <w:p>
      <w:r>
        <w:t>IT: TAF A-1399/2006 del 6 febbraio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Der zu beurteilende Sachverhalt verwirklichte sich im Jahr 2000. Die Bestimmungen der Verordnung vom 22. Juni 1994 über die Mehrwertsteuer (MWSTV von 1994, AS 1994 1464) bleiben im vorliegenden Fall anwendbar (Art. 93 und 94 MWSTG).</w:t>
      </w:r>
    </w:p>
    <w:p>
      <w:r>
        <w:rPr>
          <w:b/>
        </w:rPr>
        <w:t>E. 1.3</w:t>
      </w:r>
    </w:p>
    <w:p>
      <w:r>
        <w:t>Die ESTV hat im angefochtenen Einspracheentscheid die ermessensweise vorgenommene Umsatzschätzung von Fr. 850'200.-- auf Fr. 680'160.-- und somit die Mehrwertsteuer um Fr. 11'863.-- auf Fr. 26'127.-- herabgesetzt und die Vorsteuerkorrektur von Fr. 869.-- auf Fr. 511.-- reduziert. Im Rechtsbegehren beantragt die Beschwerdeführerin die (vollständige) Aufhebung des Einspracheentscheids, folglich auch mit Bezug auf den nicht zugelassenen Vorsteuerabzug. Demgegenüber führt sie in der Begründung aus: "Gegen diese von der Vorinstanz neu vorgenommene Einschätzung nach pflichtgemässem Ermessen ist mit Bezug auf die durchschnittlichen Schätzwerte nichts einzuwenden. Strittig bleibt damit nur die Frage der Zurechnung des Umsatzes der bei ihr arbeitenden Damen." Berücksichtigt man ferner, dass sich die Beschwerdeführerin an keiner Stelle mit der verbleibenden Vorsteueraufrechnung über Fr. 511.-- auseinandersetzt und bereits in der Einsprache lediglich die Kürzung der Vorsteuer für Aufwendungen für Getränke und Verpflegung um 50% beanstandet worden ist, wird deutlich, dass die Frage, ob die ESTV mit Recht den Vorsteuerabzug in Höhe von Fr. 511.-- verwehrte, nicht Streitgegenstand des vorliegenden Verfahrens bildet. Dasselbe hat aufgrund der vorab erwähnten Ausführungen in der Beschwerde und der übrigen Akten schliesslich auch für die Frage, inwieweit in casu die Voraussetzungen für eine Ermessenstaxation durch die ESTV überhaupt gegeben waren, sowie für die konkret vorgenommene Schätzung bzw. Berechnung des Umsatzes an sich zu gelten. Zu beurteilen bleibt somit einzig die Frage, ob die in den Räumlichkeiten der Beschwerdeführerin tätigen Frauen mit Bezug auf die durch die erotischen Dienstleistungen erzielten Umsätze in mehrwertsteuerlicher Hinsicht als selbständig zu qualifizieren sind oder ob die Umsätze der Beschwerdeführerin zuzuordnen sind.</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Verwaltungspraxis der Bundesbehörden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Im vorliegenden Fall betreibt die Beschwerdeführerin für die fragliche Zeit einen Erotikclub. Sie stellt den Damen für deren sexuellen Dienstleistungen die Räumlichkeiten (u.a. die Bar, in welcher sich die Kunden und Frauen kennenlernen können, sowie die verschiedenen Zimmer) mit der entsprechenden Infrastruktur und die Einrichtungen an der Reception für das Inkasso zur Verfügung.</w:t>
      </w:r>
    </w:p>
    <w:p>
      <w:r>
        <w:rPr>
          <w:b/>
        </w:rPr>
        <w:t>E. 3.1</w:t>
      </w:r>
    </w:p>
    <w:p>
      <w:r>
        <w:t>Zunächst räumt die Beschwerdeführerin ein, auf ihrer eigenen Homepage und damit im eigenen Namen für den Erotikclub bzw. die Damen Werbung zu betreiben und dabei auf das Sexangebot zu verweisen. Nach eigener Angabe sind auf ihrer eigenen Internetseite ferner auch der jeweilige Tagesplan (d.h. es kann eingesehen werden, welche Damen an welchen Tagen während gewissen Fix-Zeiten anwesend sind und welcher Art die Dienstleistungen sind, welche sie erbringen) sowie verschiedene Preise für Dienstleistungen (zeitabhängig) ersichtlich. Gemäss weiterer Darstellung wird für eine allfällige Kontaktaufnahme ausschliesslich auf die Telefonnummer des Clubs verwiesen bzw. wird der Kunde dahingehend informiert, dass er lediglich die Möglichkeit habe, die einzelnen Frauen an der Bar des Clubs bei einem unverbindlichen Gespräch näher kennenzulernen. Eine Direktkontaktnahme mit der Sexarbeiterin ohne Zuhilfenahme der Beschwerdeführerin bleibt dem Kunden also verwehrt. Die Beschwerdeführerin behauptet nicht, dass für die Leistungen der Damen in ihrem Club Werbung an anderer Stelle auch im Namen der eigentlichen Leistungserbringerinnen, d.h. aller dort arbeitenden und auch verfügbaren Damen je einzeln mit Preisangabe und Möglichkeit der direkten Kontaktaufnahme etc., erfolgen würde und erbringt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Folglich fehlt es für die Annahme der mehrwertsteuerlichen Selbständigkeit der Sexarbeiterinnen mit Bezug auf die durch die Beschwerdeführerin angepriesenen Leistungen zunächst am rechtsgenügenden Auftritt der einzelnen Damen nach aussen im eigenen Namen (vgl. Entscheid der SRK vom 15. November 2002, a.a.O., E. 3; siehe auch noch nicht rechtskräftige Urteile des Bundesverwaltungsgerichts A-1392/2006 vom 29. Oktober 2007, E. 4.1, A-1382/2006 und A-1383/2006 vom 19. Juli 2007, jeweils E. 3.1; E. 2.2 hievor). Daran ändert nichts, dass auf der Homepage die Frauen - wie die Beschwerdeführerin vorgibt - namentlich und in der Regel mit Bild aufgeführt werden. Sie selbst hat eingeräumt, dass eine direkte Kontaktnahme bzw. Buchung ohnehin nicht möglich ist, wobei nicht massgebend ist, inwieweit der Beweggrund, wie die Beschwerdeführerin behauptet, darin liegt, dass die Damen vor Belästigungen im Privatbereich geschützt bleiben sollen oder die Kunden keine Hemmungen oder Angst zu haben brauchen, anstössig zu wirken oder eine ihnen nicht bekannten Nummer zu wählen. Die Fotos dienen demnach vielmehr dazu, dass sich die potenziellen Kunden die verschiedenen Damen ansehen und eine bzw. mehrere Frauen aussuchen können, welche ihnen die erotischen Dienstleistungen allenfalls erbringen sollen.</w:t>
      </w:r>
    </w:p>
    <w:p>
      <w:r>
        <w:rPr>
          <w:b/>
        </w:rPr>
        <w:t>E. 3.2</w:t>
      </w:r>
    </w:p>
    <w:p>
      <w:r>
        <w:t>Ferner kann nicht gesagt werden, die Sexarbeiterinnen handelten in völliger betriebswirtschaftlicher bzw. arbeitsorganisatorischer Unabhängigkeit: Zunächst legt die Beschwerdeführerin nach eigenen Ausführungen auf ihrer Homepage Richtpreise für die Leistungen, abhängig von der Zeit, fest. Inwieweit diese Festlegung - wie sie behauptet - tatsächlich dem Schutz der Damen vor ungewollten Preisdiskussionen dient, ist dabei nicht entscheidend. Die ESTV hat zur Schätzung der durch die erotischen Dienstleistungen erzielten Umsätze unter anderem auf die angegebenen Einzelpreise von Fr. 160.-- für eine ¼-Stunde, Fr. 280.-- für eine halbe Stunde, Fr. 380.-- für eine ¾-Stunde sowie Fr. 480.-- für eine volle Stunde abgestellt und daraus einen durchschnittlichen Stundenansatz von Fr. 545.-- errechnet. Wie bereits dargelegt, bestreitet die Beschwerdeführerin die durchschnittlichen Schätzwerte ausdrücklich nicht (vgl. E. 1.3 hievor). Demnach geht sie selber davon aus, dass die Damen sich auch tatsächlich an die Preisvorgaben halten. Der Einwand, der konkret ausgehandelte Preis würde oft von den Richtpreisen abweichen, ist daher wenig überzeugend und steht zudem - soweit damit geltend gemacht wird, die effektiven Preise seien tiefer - in einem gewissen Widerspruch zur Behauptung, die Richtpreise würden zum Schutz vor ungewollten Preisdiskussionen bestimmt. Im umgekehrten Fall wäre ein Kunde, welcher sich in guten Treuen auf die Richtpreise abstützt und bei einem Besuch feststellen muss, dass die effektiven Preise über den angepriesenen liegen, wohl kaum bereit, dies zu akzeptieren. Jedenfalls beeinträchtigen die von der Beschwerdeführerin festgelegten Richtpreise die betriebswirtschaftliche Unabhängigkeit der Frauen, selbst wenn diese in gewissen Fällen davon abweichende Preisabsprachen mit den Kunden treffen (vgl. Entscheid der SRK vom 15. November 2002, a.a.O., E. 3; noch nicht rechtskräftige Urteile des Bundesverwaltungsgericht vom 29. Oktober 2007, a.a.O., E. 4.2, vom 19. Juli 2007, a.a.O., jeweils E. 3.2).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Die Beschwerdeführerin gibt selber an, dass für die Damen "gewisse Fix-Zeiten" bestehen.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(Entscheid der SRK vom 15. November 2002, a.a.O., E. 3; noch nicht rechtskräftige Urteile des Bundesverwaltungsgerichts vom 29. Oktober 2007, a.a.O., E. 4.2, vom 19. Juli 2007, a.a.O., beide jeweils E. 3.2).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So werden die Tagespläne mit Angabe der Namen und - grösstenteils - der Fotos der jeweils anwesenden Sexarbeiterinnen, welche auf der Homepage einsehbar sind, wohl derartig zusammengestellt, dass sie die Bedürfnisse der Kunden bestmöglich abdecken und so eine möglichst hohe Auslastung der Beschwerdeführerin erreicht werden kann.</w:t>
      </w:r>
    </w:p>
    <w:p>
      <w:r>
        <w:rPr>
          <w:b/>
        </w:rPr>
        <w:t>E. 3.3</w:t>
      </w:r>
    </w:p>
    <w:p>
      <w:r>
        <w:t>Zusammenfassend ist festzustellen, dass die angebotenen sexuellen Dienstleistungen aufgrund des nach aussen sichtbaren Erscheinungsbildes einen integrierten Zweig des Erotikclubs der Beschwerdeführerin darstellen. Massgebend ist, dass sie nach aussen im eigenen Namen auftritt, und nicht die einzelnen Damen. Die Umsätze sind der Beschwerdeführerin mehrwertsteuerlich zuzurechnen.</w:t>
      </w:r>
    </w:p>
    <w:p>
      <w:r>
        <w:rPr>
          <w:b/>
        </w:rPr>
        <w:t>E. 3.4</w:t>
      </w:r>
    </w:p>
    <w:p>
      <w:r>
        <w:t>Es bleibt, auf die übrigen Argumente der Beschwerdeführerin einzugehen, soweit sie nicht bereits durch die vorangehenden Erwägungen ausdrücklich oder implizite widerlegt sind.</w:t>
      </w:r>
    </w:p>
    <w:p>
      <w:r>
        <w:rPr>
          <w:b/>
        </w:rPr>
        <w:t>E. 3.4.1</w:t>
      </w:r>
    </w:p>
    <w:p>
      <w:r>
        <w:t>Sie macht vorab geltend, es bestünden mit den Frauen keine Arbeitsverhältnisse im Sinne des Obligationen- oder des Sozialversicherungsrechts. Vielmehr handle es sich um Dienstleistungsverträge. Sie sorge für die Werbung, die Akquisition von Kunden sowie für die Sicherheit der Frauen und stelle die Lokalität und die Infrastruktur zur Verfügung. Dafür hätten ihr die Damen 40% von deren Umsatz zu bezahlen. Diese seien bewilligungs- und sozialversicherungsrechtlich selbständig. Der Beschwerdeführerin ist entgegenzuhalten, dass die Analyse der Frage nach der Selbständigkeit unter zivilrechtlichen Gesichtspunkten höchstens eine Auslegungshilfe - mithin ein Indiz - darstellt, jedenfalls nicht allein entscheidend sein kann (E. 2.4 hievor). Der Umstand, dass die Beschwerdeführerin für die Sexarbeiterinnen offensichtlich nicht mit der Sozialversicherung abrechnet, zeigt zunächst einmal, dass zwischen ihnen kein Arbeitsvertrag besteht. Im vorliegenden Fall wird den Damen die mehrwertsteuerliche Selbständigkeit jedoch nicht etwa aufgrund der Annahme abgesprochen, sie stünden in einem arbeitsrechtlichen Verhältnis zur Beschwerdeführerin, sondern weil für die sexuellen Dienstleistungen im Club nicht sie, sondern die Beschwerdeführerin im eigenen Namen nach aussen in Erscheinung tritt (vgl. noch nicht rechtskräftige Urteile des Bundesverwaltungsgerichts vom 29. Oktober 2007, a.a.O., E. 4.3 sowie vom 19. Juli 2007, a.a.O., beide jeweils E. 3.4.2). Als mehrwertsteuerliche Leistungserbringerin hat folglich die Beschwerdeführerin zu gelten (E. 2.2 hievor). Aus demselben Grund kommt es unter den gegebenen Umständen nicht darauf an, inwieweit die Sexarbeiterinnen in sozialversicherungs-, bewilligungs- oder anderer abgabe- bzw. beitragsrechtlicher Hinsicht als Selbständigerwerbende behandelt werden oder im Innenverhältnis die Frauen der Beschwerdeführerin für Leistungen ihnen gegenüber ein Entgelt zu entrichten haben (obschon diese Vorbringen nirgends belegt sind). Der Vollständigkeit halber sei betreffend des behaupteten Werbe- und Akquisitionsauftrags erwähnt, dass die Beschwerdeführerin aus mehrwertsteuerlicher Sicht diesbezüglich ohnehin nicht im Namen der Damen, sondern im eigenen Namen tätig wird (E. 3.1). Die Beschwerdeführerin hält in diesem Zusammenhang zudem dafür, zwischen ihr und den Frauen fehle es nicht nur an der im Sinne von Art. 195 des Schweizerischen Strafgesetzbuchs vom 21. Dezember 1937 (StGB, SR 311.0) verbotenen Druckausübung, sondern gänzlich an jeglicher Art der Subordination, insbesondere mit Bezug auf Art, Ort, Zeitpunkt, Ausmass oder anderen Umständen der Dienstleistung. Laut Art. 195 Abs. 3 StGB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von Art. 195 Abs. 3 StGB voraus, dass auf die Prostituierte ein gewisser Druck ausgeübt wird, dem sie sich nicht ohne weiteres entziehen kann, so dass sie in ihrer Entscheidung, ob und wie sie dem Gebwerbe nachgehen will, nicht mehr vollständig frei ist, und dass die Überwachung oder die bestimmende Einflussnahme ihrem Willen oder ihren Bedürfnissen zuwiderläuft (BGE 129 IV 81 E 1.2, BGE 126 IV 76 E. 2, BGE 125 IV 269 E. 1). Inwieweit das Verhalten der Beschwerdeführerin in ihrem Club den Sexarbeiterinnen gegenüber in irgendeiner Weise im Sinne von Art. 195 Abs. 3 StGB strafrechtlich relevant sein könnte, ist nicht vom Bundesverwaltungsgericht zu beurteilen und ohnehin nicht massgebend für das vorliegende Verfahren. Die mehrwertsteuerliche Selbständigkeit wird den Damen nicht abgesprochen, weil auf sie ein unzulässiger Druck ausgeübt wird, sondern weil sie sich in die Organisation der Beschwerdeführerin einfügen und gegen aussen sie für die durch die Dienstleistungen der Frauen erzielten Umsätze als mehrwertsteuerliche Leistungserbringerin in Erscheinung tritt. Die Natur des Vertragsverhältnisses zwischen der Beschwerdeführerin und den Frauen ist dabei - wie gesehen - nicht entscheidend.</w:t>
      </w:r>
    </w:p>
    <w:p>
      <w:r>
        <w:rPr>
          <w:b/>
        </w:rPr>
        <w:t>E. 3.4.2</w:t>
      </w:r>
    </w:p>
    <w:p>
      <w:r>
        <w:t>Die Beschwerdeführerin hält des Weitern dafür, die Damen bestimmten selbst, wann und wie lange sie (offensichtlich ausserhalb der bestehenden Fix-Zeiten, vgl. E. 3.2 zweiter Abschnitt) im Club anwesend sind und wem sie welche Dienstleistung erbringen. Sie gäbe den Frauen keinerlei Garantien oder finanzielle Grundleistungen; das heisse, die Frauen erhielten für ihren Aufenthalt im Club und die Shows, etc. nichts. Diese erzielten ihren Umsatz ausschliesslich mit dem Gast, für welchen sie ganz alleine verantwortlich seien. Komme es zu keinem Vertrag mit dem Kunden, erhielten sie kein Entgelt. Abgesehen davon, dass diese Vorbringen von der Beschwerdeführerin nicht belegt werden und darüber hinaus der sich bei den Akten der ESTV befindlichen Rechnung für verschiedene Stelleninserate zur Anwerbung neuer Sexarbeiterinnen, worin ein Spitzenverdienst mit einem garantierten Fixum angepriesen wird (unnummerierte Vernehmlassungsbeilage, datiert vom 21. Dezember 2000), widersprechen, kommt es im vorliegenden Fall darauf nicht im Wesentlichen an. Massgebend ist zunächst wiederum die Frage, wie das Sexangebot für die Allgemeinheit, für den neutralen Dritten objektiv erkennbar in Erscheinung tritt (Entscheid der SRK vom 15. November 2002, a.a.O., E. 4d; noch nicht rechtskräftige Urteile des Bundesverwaltungsgerichts vom 29. Oktober 2007, a.a.O., E. 4.3 3. Abschnitt, vom 19. Juli 2007, a.a.O., beide jeweils E. 3.4.1 3. Abschnitt). Unter diesem Blickwinkel erscheint - wie gezeigt (E. 3.1 hievor) - jeweils die Beschwerdeführerin als Anbieterin der sexuellen Dienstleistungen am Markt. Selbstverständlich vereinbart der Kunde letztlich mit der einzelnen Dame die Einzelheiten der zu erbringenden Leistung. Dies verändert jedoch genauso wenig wie die fehlende Umsatzgarantie oder das Risiko des fehlenden Einkommens das nach aussen vermittelte Gesamtbild, wonach die Beschwerdeführerin mit der Zuhilfenahme der im Club anwesenden Damen als Leistungserbringerin auftritt. Ebenso unmassgeblich ist die behauptete Wahlfreiheit der Frauen bezüglich Kunden und Praktiken. Denn, falls die Sexarbeiterinnen im Club der Beschwerdeführerin tätig sind, unterliegen sie der beschriebenen betriebswirtschaftlichen- und arbeitsorganisatorischen Abhängigkeit (vgl. E. 3.2 hievor). Dass das Betrachten der Damen und der Shows sowie die Bewirtung an der Bar - wie die Beschwerdeführerin vorgibt - unentgeltlich ist und der Kunde im Falle, dass es nicht zu einer erotischen Dienstleistung kommt, nichts bezahlt bzw. im umgekehrten Fall diese "Leistungen" im Entgelt für die Dienstleistung inbegriffen sind, unterstreicht dabei das nach aussen vermittelte Bild der "betrieblichen Einheit" von Beschwerdeführerin und Sexarbeiterinnen.</w:t>
      </w:r>
    </w:p>
    <w:p>
      <w:r>
        <w:rPr>
          <w:b/>
        </w:rPr>
        <w:t>E. 3.4.3</w:t>
      </w:r>
    </w:p>
    <w:p>
      <w:r>
        <w:t>Bei diesem Ergebnis sind die Ausführungen der Beschwerdeführerin, wonach ein mehrwertsteuerliches Austauschverhältnis zwischen ihr und den Kunden fehlen bzw. sich ein allfälliges Vertragsverhältnis darauf beschränken würde, dem Kunden unentgeltlich den Bezug von Erotikdienstleistungen zu ermöglichen, folglich nicht zu hören. Dasselbe gilt demnach auch für die beschwerdeführerische Behauptung, es bestehe mehrwertsteuerrechtlich kein Unterschied zu einer Messeveranstaltung oder einem Einkaufszentrum, bei welchen mit Ausnahme von allfälligen Eintrittsgeldern vom Veranstalter oder Betreiber vom Besucher ebenfalls kein Entgelt vereinnahmt würde. Nicht relevant ist überdies, ob die Damen ihre Dienste auch ausserhalb des Clubs an anderen Orten anbieten. Soweit sie in den Lokalitäten der Beschwerdeführerin arbeiten, erfüllen sie den Tatbestand der mehrwertsteuerlichen Selbständigkeit nicht, und die Umsätze aus den Dienstleistungen sind der Beschwerdeführerin zuzurechnen. Wie es sich mit der Steuerbarkeit derjenigen Umsätze verhält, welche die Frauen ausserhalb des Clubs allenfalls erzielen, bzw. wem die Umsätze zuzurechnen sind (den einzelnen Frauen oder einem Dritten), bildet nicht Gegenstand des vorliegenden Verfahrens.</w:t>
      </w:r>
    </w:p>
    <w:p>
      <w:r>
        <w:rPr>
          <w:b/>
        </w:rPr>
        <w:t>E. 3.5</w:t>
      </w:r>
    </w:p>
    <w:p>
      <w:r>
        <w:t>Der Vollständigkeit halber sei ferner darauf hingewiesen, dass sich von vornherein nicht die Frage nach einer allfälligen mehrwertsteuerlichen Stellvertretung, ob nun in direkter (als blosser Vermittler) oder indirekter Form, stellen kann (vgl. E. 2.2 letzter Abschnitt hievor), da es den Sexarbeiterinnen in Bezug auf die im Club der Beschwerdeführerin erbrachten sexuellen Dienstleistungen an der mehrwertsteuerlichen Selbständigkeit mangelt und die entsprechenden Umsätze der Beschwerdeführerin zuzurechnen sind.</w:t>
      </w:r>
    </w:p>
    <w:p>
      <w:r>
        <w:rPr>
          <w:b/>
        </w:rPr>
        <w:t>E. 3.6</w:t>
      </w:r>
    </w:p>
    <w:p>
      <w:r>
        <w:t>Die Beschwerdeführerin macht schliesslich geltend, das vorliegende Verfahren würde die rechtliche Würdigung eines unbestritten gebliebenen Sachverhalts betreffen. Aufgrund dieser Tatsache erfolge die Nennung der Beweismittel lediglich rudimentär. Eine neuerliche Bestreitung der tatsächlichen Vorbringen wäre als Novum zu qualifizieren und müsste die Möglichkeit der Nennung weiterer Beweismittel, zumindest jedoch die Möglichkeit, die einzelnen Zeugen konkret zu nennen, mit sich bringen. Für den Bestreitungsfall von einzelnen Sachverhaltselementen nennt sie als Beweismittel Parteiauskünfte, Urkundenbeweise und Zeugenaussagen. Wie es sich damit genau verhält, d. h. inwiefern die tatsächlichen Vorbringen bestritten sind, kann vorliegend indes offenbleiben. Selbst wenn auf die (weitestgehend unbewiesen gebliebenen) Sachverhaltsdarstellungen der Beschwerdeführerin abgestellt wird, kann sie - wie gesehen - nichts zu ihren Gunsten ableiten. Im Sinne einer antizipierten Beweiswürdigung wären die Beweisanträge deshalb ohnehin abzuweisen (vgl. zur antizipierten Beweiswürdigung: Urteil des Bundesgerichts 2A.110/2000 vom 26. Januar 2001 E. 3b und c; Urteile des Bundesverwaltungsgerichts A-1516/2006 vom 5. Dezember 2007 E. 2.7, A-1386/2007 vom 3. April 2007 E. 1.3.4, je mit Hinweisen; André Moser, in André Moser/Peter Uebersax, Prozessieren vor eidgenössischen Rekurskommissionen, Basel und Frankfurt a.M. 1998, S. 121 ff. Rz. 3.66 ff.).</w:t>
      </w:r>
    </w:p>
    <w:p>
      <w:r>
        <w:rPr>
          <w:b/>
        </w:rPr>
        <w:t>E. 3.7</w:t>
      </w:r>
    </w:p>
    <w:p>
      <w:r>
        <w:t>Nach dem Gesagten ist die Beschwerde abzuweisen. Die Verfahrenskosten in Höhe von Fr. 1'500.-- sind der Beschwerdeführerin aufzuerlegen (Art. 63. Abs. 1 VwVG) und mit dem geleisteten Kostenvorschuss von Fr. 2'000.-- zu verrechnen. Der Überschuss von Fr. 500.-- ist nach Rechtskraft des vorliegenden Urteils zurückzuerstatten.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