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A-1395/2006 vom 31. August 2007</w:t>
      </w:r>
    </w:p>
    <w:p>
      <w:r>
        <w:t>Bundesverwaltungsgericht, 2007-08-31, DE</w:t>
      </w:r>
    </w:p>
    <w:p>
      <w:r>
        <w:rPr>
          <w:b/>
        </w:rPr>
        <w:t xml:space="preserve">Quelle: </w:t>
      </w:r>
      <w:r>
        <w:t>https://mcp.opencaselaw.ch/entscheid/bvger_A-1395_2006</w:t>
      </w:r>
    </w:p>
    <w:p>
      <w:r>
        <w:t>FR: TAF A-1395/2006 du 31 août 2007</w:t>
      </w:r>
    </w:p>
    <w:p>
      <w:r>
        <w:t>IT: TAF A-1395/2006 del 31 agosto 2007</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BVGer übernimmt am 1. Januar 2007, sofern es zuständig ist, die am 31. Dezember 2006 bei der SRK hängigen Rechtsmittel. Die Beurteilung erfolgt nach neuem Verfahrensrecht (Art. 53 Abs. 2 des Bundesgesetzes vom 17. Juni 2005 über das Bundesverwaltungsgericht [Verwaltungsgerichtsgesetz, VGG, SR 173.32]). Soweit das Verwaltungsgerichtsgesetz nichts anderes bestimmt, richtet sich gemäss Art. 37 VGG das Verfahren nach dem Bundesgesetz vom 20. Dezember 1968 über das Verwaltungsverfahren (VwVG, SR 172.021). Das BVGer ist zur Behandlung der Beschwerde sachlich wie funktionell zuständig (Art. 31 und 33 Bst. d VGG i.V.m. Art. 53 MWSTV). Der Beschwerdeführer hat den Einspracheentscheid vom 10. November 1994 frist- und formgerecht angefochten (Art. 50 und 52 VwVG). Er ist durch diesen beschwert und zur Anfechtung berechtigt (Art. 48 VwVG).</w:t>
      </w:r>
    </w:p>
    <w:p>
      <w:r>
        <w:rPr>
          <w:b/>
        </w:rPr>
        <w:t>E. 1.2</w:t>
      </w:r>
    </w:p>
    <w:p>
      <w:r>
        <w:t>Das Bundesverwaltungsgericht kann den angefochtenen Einspracheentscheid grundsätzlich in vollem Umfange überprüfen. Der Beschwerdeführer kann neben der Verletzung von Bundesrecht (Art. 49 Bst. a VwVG) und der unrichtigen und unvollständigen Feststellung des rechtserheblichen Sachverhaltes (Art. 49 Bst. b VwVG) auch die Rüge der Unangemessenheit erheben (Art. 49 Bst. c VwVG; André Moser, in André Moser/Peter Uebersax, Prozessieren vor eidgenössischen Rekurskommissionen, Basel und Frankfurt am Main 1998, Rz. 2.59; Ulrich Häfelin/Felix Uhlmann, Allgemeines Verwaltungsrecht, 5. Auflage, Zürich 2006, Rz. 1758 ff.).</w:t>
      </w:r>
    </w:p>
    <w:p>
      <w:r>
        <w:rPr>
          <w:b/>
        </w:rPr>
        <w:t>E. 2.1</w:t>
      </w:r>
    </w:p>
    <w:p>
      <w:r>
        <w:t>Der zu beurteilende Sachverhalt verwirklichte sich in den Jahren 1995 bis 2000, allenfalls schon im Jahr 1994. Die Bestimmungen der Mehrwertsteuerverordnung bleiben in casu anwendbar (Art. 93 Abs. 1 des Bundesgesetzes vom 2. September 1999 über die Mehrwertsteuer [MWSTG, SR 641.20]).</w:t>
      </w:r>
    </w:p>
    <w:p>
      <w:r>
        <w:rPr>
          <w:b/>
        </w:rPr>
        <w:t>E. 2.2</w:t>
      </w:r>
    </w:p>
    <w:p>
      <w:r>
        <w:t>Nach den Übergangsbestimmungen zur Mehrwertsteuerverordnung bleiben die per 31. Dezember 1994 aufgehobenen Bestimmungen des Warenumsatzsteuerrechts (Bundesratsbeschluss vom 29. Juli 1941 über die Warenumsatzsteuer [WUB, BS 6 173]) sowie die darauf gestützt erlassenen Vorschriften - unter Vorbehalt von Art. 84 MWSTV - weiterhin auf alle während deren Geltungsdauer eingetretenen Tatsachen und entstandenen Rechtsverhältnisse anwendbar (Art. 83 Abs. 1 MWSTV). Gleiches gilt, wenn das Entgelt für eine vor dem Inkrafttreten der Mehrwertsteuerverordnung ausgeführte Lieferung erst nach diesem Zeitpunkt vereinnahmt wird. Die Steuerschuld entsteht jedoch nach dem Inkrafttreten dieser Verordnung und wird 60 Tage nach diesem Zeitpunkt zur Zahlung fällig (Art. 83 Abs. 2 MWSTV). Das neue Recht gilt für Umsätze, die ab Inkrafttreten dieser Verordnung getätigt werden, sowie für Einfuhren von Gegenständen, die nicht vorher provisorisch verzollt wurden und die ab Inkrafttreten dieser Verordnung endgültig zur Einfuhr abgefertigt werden (Art. 84 Abs. 1 MWSTV). Lieferungen und Dienstleisungen, die teilweise vor Inkrafttreten dieser Verordnung erbracht wurden, sind nach altem Recht zu versteuern und müssen auch per 31. Dezember 1994 verbucht werden (Urteil des Bundesverwaltungsgerichts A-1349/2006 vom 22. Mai 2007 E. 2.6, mit weiteren Hinweisen). Für Lieferungen und Dienstleistungen, die teilweise ab Inkrafttreten dieser Verordnung erbracht werden, gilt das neue Recht. Für Raten-, Teil- und Akontozahlungen, welche noch vor Inkrafttreten dieser Verordnung erbracht und verbucht wurden, gilt das alte Recht, sofern die Lieferungen und Dienstleistungen auch vor Inkrafttreten dieser Verordnung vereinnahmt und verbucht wurden (Art. 84 Abs. 4 MWSTV). Dieses Übergangsrecht wurde dem Grundsatz nach als mit der Bundesverfassung der Schweizerischen Eidgenossenschaft vom 18. April 1999 (BV, SR 101) vereinbar erklärt (BGE 123 II 385 E. 7; vgl. auch BGE 123 II 433 E. 8; Entscheid der SRK vom 19. Juli 2000, veröffentlicht in Verwaltungspraxis der Bundesbehörden [VPB] 65.23 E. 4b). Entscheidend für die Zuordnung, ob eine (Teil-)Leistung unter das alte oder das neue Recht fällt, ist damit der Erbringungszeitpunkt. Wurde die (Teil-)Leistung vor dem 1. Januar 1995 erbracht, unterliegt sie dem Warenumsatzsteuerrecht, wurde sie erst nach dem 1. Januar 1995 erbracht, dem Mehrwertsteuerrecht. Nach dem Warenumsatzsteuerrecht gilt eine Lieferung als erbracht, wenn der Abnehmer oder an dessen Stelle ein Dritter instand gesetzt wird, im eigenen Namen über die Ware zu verfügen (Art. 15 Abs. 1 WUB). Gleiches gilt nach der Mehrwertsteuerverordnung, welche den nämlichen Wortlaut übernimmt (Art. 5 MWSTV). Über den Erbringungszeitpunkt von Dienstleistungen sagt die Verordnung jedoch nichts aus. Es ist jedoch anerkannt, dass eine Leistung erst als erbracht gelten kann, wenn die wesentlichen Charakteristika einer mehrwertsteuerlichen Leistung erfüllt worden sind. Namentlich muss dem Empfänger die Befähigung verschafft worden sein, im eigenen Namen über die Leistung zu verfügen (Art. 15 WUB; für die Mehrwertsteuer Art. 5 Abs. 1 und 2 MWSTV; Entscheid der SRK vom 20. Januar 2003, veröffentlicht in VPB 67.83 E. 2a/cc). Ohne Belang sind dagegen der Zeitpunkt etwa der Fälligkeit der Gegenleistung oder derjenige der Fakturierung der Leistung bzw. der Vereinnahmung des Entgelts (Entscheid der SRK vom 20. Januar 2003, a.a.O., E. 3b).</w:t>
      </w:r>
    </w:p>
    <w:p>
      <w:r>
        <w:rPr>
          <w:b/>
        </w:rPr>
        <w:t>E. 2.3</w:t>
      </w:r>
    </w:p>
    <w:p>
      <w:r>
        <w:t>Eine Teilleistung liegt vor, wenn der bereits ausgeführte Teil der Gesamtleistung die erforderlichen objektiven Tatbestandsvoraussetzungen, die wesentlichen Charakteristika, einer umsatzsteuerrechtlichen Leistung erfüllt. Bei einer Teillieferung wird damit vorausgesetzt, dass dem Empfänger die Befähigung verschafft wird, in eigenem Namen über den teilgelieferten Gegenstand wirtschaftlich zu verfügen. Verfügungsmacht über einen Gegenstand im Sinne des Mehrwertsteuerrechts kommt dem Abnehmer dann zu, wenn er wie ein Eigentümer über ihn verfügen kann, ihn also entweder selber verbrauchen, gebrauchen oder aber in eigenem Namen auf eine weitere Wirtschaftsstufe übertragen, ihn in eigenem Namen veräussern kann (Entscheid der SRK vom 20. Januar 2003, a.a.O., E. 2a/dd). Der Teilleistung muss sodann eine Gegenleistung gegenüberstehen, ist doch die Entgeltlichkeit unabdingbare Tatbestandsvoraussetzung für die Steuerbarkeit einer Leistung (Art. 4 Bst. a und b MWSTV; Entscheid der SRK vom 20. Januar 2003, a.a.O., E. 2a/dd mit Verweis auf den Entscheid der SRK vom 28. September 2001 [SRK 2001-017] E. 4a).</w:t>
      </w:r>
    </w:p>
    <w:p>
      <w:r>
        <w:rPr>
          <w:b/>
        </w:rPr>
        <w:t>E. 2.4</w:t>
      </w:r>
    </w:p>
    <w:p>
      <w:r>
        <w:t>Nach Art. 4 MWSTV unterliegen der Steuer die durch Mehrwertsteuerpflichtige im Inland gegen Entgelt erbrachten Lieferungen von Gegenständen (Bst. a) und die im Inland gegen Entgelt erbrachten Dienstleistungen (Bst. b), soweit sie nicht nach Art. 14 MWSTV von der Mehrwertsteuer ausgenommen sind. Eine Dienstleistung liegt nach Art. 6 Abs. 2 MWSTV auch vor, wenn immaterielle Werte und Rechte überlassen werden (Bst. a) oder eine Handlung unterlassen wird (Bst. b). Im Unterlassen liegt eine Leistung, wenn einem Dritten ein bewusster wirtschaftlicher Vorteil verschafft wird (Alois Camenzind/Niklaus Honauer/Klaus A. Vallender, Handbuch zum Mehrwertsteuergesetz [MWSTG], Bern 2003, 2. Auflage, Rz. 279). Häufigster Anwendungsfall ist die Verpflichtung, sich einer konkurrenzierenden Tätigkeit zu enthalten (Patrick Imgrüth, mwst.com, Kommentar zum Bundesgesetz über die Mehrwertsteuer, Basel 2000, Rz. 2 zu Art. 7; Eidgenössisches Finanzdepartement [EFD], Kommentar zur Verordnung über die Mehrwertsteuer vom 22. Juni 1994, S. 6).</w:t>
      </w:r>
    </w:p>
    <w:p>
      <w:r>
        <w:rPr>
          <w:b/>
        </w:rPr>
        <w:t>E. 2.5</w:t>
      </w:r>
    </w:p>
    <w:p>
      <w:r>
        <w:t>Steuerbegründende Tatsachen sind von der ESTV zu beweisen, steuermindernde Tatsachen sind vom Steuerpflichtigen nicht nur zu behaupten, sondern auch zu belegen (BGE 121 II 257 E. 4c/aa; BGE 121 II 273 E. 3c/aa; Urteil des Bundesverwaltungsgerichts A-1348/2006 vom 30. Mai 2007 E. 4.4; Ernst Blumenstein/Peter Locher, System des schweizerischen Steuerrechts, 6. Auflage, Zürich 2002, S. 416 und 454; Urs Behnisch, Die Verfahrensmaximen und ihre Auswirkungen auf das Beweisrecht im Steuerrecht, Archiv für Schweizerische Abgaberecht [ASA] 56 520; Martin Zweifel, Die Verfahrenspflichten des Steuerpflichtigen im Steuereinschätzungsverfahren unter besonderer Berücksichtigung des zürcherischen Rechtes, ASA 49 520; Martin Zweifel, Die Sachverhaltsermittlung im Steuerveranlagungsverfahren, Zürich 1989, S. 109 f.; Urteil des BVGer A-1455/2006 vom 25. April 2007 E. 2.2).</w:t>
      </w:r>
    </w:p>
    <w:p>
      <w:r>
        <w:rPr>
          <w:b/>
        </w:rPr>
        <w:t>E. 3</w:t>
      </w:r>
    </w:p>
    <w:p>
      <w:r>
        <w:t>Im vorliegenden Fall behauptet der Beschwerdeführer, er habe für Fr. 600'000.-- Leistungen unter dem Vertrag 1994 noch unter der Geltung des Warenumsatzsteuerrechts vor dem 1. Januar 1995 erbracht, nämlich die Abtretung seiner Urheberrechte für Fr. 100'000.-- und die Verpflichtung zum Konkurrenzverbot für Fr. 500'000.--; Fr. 50'000.-- seien Abgeltung eines Dritten und Fr. 65'000.-- seien Entgeltsminderung. Der Mehrwertsteuerpflichtige anerkennt, mehrwertsteuerpflichtige Leistungen nach dem 31. Dezember 1994 unter dem Vertrag 1994 von Fr. 185'000.-- erbracht zu haben. Nicht im Streit ist die Nachforderung der ESTV gemäss Ziff. 11 der EA Nr. ... vom 24. September 2001 über den Betrag von Fr. 187.20 aus dem nicht deklarierten Umsatz des Beschwerdeführers aus der Schuldenverrechnung mit Z._______.</w:t>
      </w:r>
    </w:p>
    <w:p>
      <w:r>
        <w:rPr>
          <w:b/>
        </w:rPr>
        <w:t>E. 3.1</w:t>
      </w:r>
    </w:p>
    <w:p>
      <w:r>
        <w:t>Grundsätzlich ist der Vertrag 1994 als Beweis geeignet, dass der Mehrwertsteuerpflichtige von der A._______ ein Entgelt von insgesamt Fr. 900'000.-- beanspruchen konnte und auch vereinnahmt hat. Diesen Umstand stellt der Beschwerdeführer nicht in Frage. Er streitet nicht ab, unter dem Vertrag 1994 insgesamt Fr. 785'000.-- erhalten zu haben. Im Übrigen handelt es sich bei der Würdigung der eingelegten Dokumente nicht um eine Frage des rechtlichen Gehörs (vgl. dazu Häfelin/Müller/Uhlmann, a.a.O., Rz. 1672 ff.), sondern um eine Frage der Beweiswürdigung und Kognition, in der das BVGer nicht beschränkt ist (vgl. Moser, a.a.O., Rz. 3.71 ff., vgl. E. 1.2 hiervor).</w:t>
      </w:r>
    </w:p>
    <w:p>
      <w:r>
        <w:rPr>
          <w:b/>
        </w:rPr>
        <w:t>E. 3.2</w:t>
      </w:r>
    </w:p>
    <w:p>
      <w:r>
        <w:t>Gemäss Vertrag 1992 stellte der Beschwerdeführer der A._______ Informationen, Daten und Programme zur Verfügung. Letztere benötigte die A._______, um die Publikation "C._______" zu erstellen. Die Dienstleistung umfasste das Aufbereiten und die Übermittlung sämtlicher Blattseiten komplett inklusive Konstanten, wie Titelzeilen, Paginierung, Fussnoten, etc. Es ist der ESTV zuzustimmen, dass es sich bei den vom Beschwerdeführer entwickelten und der A._______ zur Verfügung gestellten EDV-Programmen um eine Individualsoftware handelte (vgl. Urteil des Bundesgerichts 2A.197/1991 vom 12. Juni 1992 E. 10a; Entscheid der SRK vom 7. November 2001 [SRK 2001-008] E. 4, bestätigt durch Urteil des Bundesgerichts 2A.546/2001 vom 1. Mai 2002). Die Abgabe des Individualprogramms war damit untergeordnete Nebenleistung zu einer Warenlieferung (Entscheid der SRK vom 4. März 2004 [SRK 2002-065], bestätigt durch Urteil des Bundesgerichts 2A.223/2004 vom 28. September 2004). Der Beschwerdeführer behielt das Eigentum sowie sämtliche Urheber- und sonstigen Schutzrechte an der Software, während die A._______ während der Vertragsdauer die unbegrenzten Nutzungsrechte an den zur Verfügung gestellten Programmen erwarb (Ziff. 5 Vertrag 1992). Nach Ziff. 3b des Vertrags 1994 trat der Beschwerdeführer jedoch der A._______ sämtliche Urheberrechte an der Software einschliesslich des Rechts zur Weitervermietung ab und behielt nur noch das unveräusserliche Urheberpersönlichkeitsrecht auf Nennung seiner Urheberschaft. Der Mehrwertsteuerpflichtige leistete Gewähr für Bestand und Umfang der übertragenen Rechte (Ziff. 3c Vertrag 1994). Der Vertrag 1994 trat gemäss Ziff. 10 in Kraft, wenn der Vertrag zwischen A._______ und nach der Zustimmung durch einen Dritten zustande kam. Dieser wurde am 16. Dezember 1994 abgeschlossen, mit Wirkung auf den 1. Januar 1995. Das Inkrafttreten und die Vertragswirkungen lagen nur wenige Tage auseinander. Bezüglich des Vertrags 1994 bedeutet dies, dass er am 22. Dezember 1994 in Kraft getreten ist. Mit seinem Inkrafttreten hat der Beschwerdeführer gleichzeitig seine Urheberrechte an der Software an die A._______ übertragen, denn der Vertrag 1994 legte dafür keinen späteren Zeitpunkt fest. Der Inhalt der Verträge 1992 und 1994 war im Übrigen praktisch identisch. In beiden Verträgen ging es um die Herstellung der Publikation "C._______" mittels der vom Mehrwertsteuerpflichtigen entwickelten Programme. Es war dazu von Anfang an der Empfang und die Speicherung von Rohdatenströmen notwendig, damit diese zu seitenfertigen Vorlagen aufbereitet werden konnten. Es ging im Vertrag 1992 um die Herstellung reprofähiger Vorlagen und im Vertrag 1994 um die Aufbereitung für multimediale Anwendungen. Der Beschwerdeführer hatte auch unter dem Vertrag 1992 die Aufbereitung gemäss Angaben zusätzlicher, noch nicht bekannter, Datenquellen vorzunehmen. Die Ansicht des Mehrwertsteuerpflichtigen, er habe die schon früher durch die A._______ verwendete Software dieser im Jahr 1994 verkauft, wird auch durch den Vertrag zwischen A._______ und dem Dritten gestützt. Darin wird vermerkt, der Standard (ab 1. Januar 1995) bezüglich Erscheinungsweise, Gestaltung, Umfang und Inhalt der Publikation habe sich an der Ausgabe des Jahres 1994 zu messen. Dies war nur möglich, wenn die Software des Beschwerdeführers weiter verwendet wurde. Der Dritte gab der A._______ vor, mit dem Beschwerdeführer zusammen zu arbeiten; auch dies war nur möglich, weil die frühere Zusammenarbeit bekannt war. Schliesslich wurde die A._______ verpflichtet, die betreffende Software des Beschwerdeführers zu kaufen. Auch dies war nur möglich, weil die fragliche Software der A._______ bekannt und von ihr schon vorher verwendet worden war. Und wenn der Vertrag 1994 bestimmte, dass während des ersten Monats der Betrieb im Rechenzentrum des Mehrwertsteuerpflichtigen parallel zu führen war, war dies praktisch die gleiche Regelung wie im Vertrag 1992, unter dem der Beschwerdeführer verpflichtet war, mittels einer Backup-Lösung die Datenübertragung auch bei Ausfall einzelner Komponenten der Datenübertragungskette sicherzustellen. Damit war die Lieferung der Software des Beschwerdeführers am 22. Dezember 1994 mit dem Inkrafttreten des Vertrags 1994 erbracht. Die A._______ war instand gesetzt, im eigenen Namen über die Daten und die gesamte Software, die bei ihr schon unter dem Vertrag 1992 installiert war, zu verfügen. Namentlich wurde der A._______ auch die Befähigung verschafft, im eigenen Namen über die Daten zu verfügen (Art. 15 WUB; Art. 5 Abs. 1 und 2 MWSTV); Entscheid der SRK vom 20. Januar 2003, a.a.O., E. 2a/cc). Ohne Belang war dagegen etwa der Zeitpunkt der Fälligkeit der Gegenleistung oder derjenige der Fakturierung der Leistung bzw. der Vereinnahmung des Entgelts (Entscheid der SRK vom 20. Januar 2003, a.a.O., E. 3b). Die Beschwerde ist insoweit gutzuheissen.</w:t>
      </w:r>
    </w:p>
    <w:p>
      <w:r>
        <w:rPr>
          <w:b/>
        </w:rPr>
        <w:t>E. 3.3</w:t>
      </w:r>
    </w:p>
    <w:p>
      <w:r>
        <w:t>Der Beschwerdeführer verpflichtete sich, während der Dauer des Vertrags 1994 und für drei Jahre nach dessen Auflösung keinerlei Programme für sich bzw. für Dritte zu entwickeln oder in Verkehr zu bringen, die die betreffende Software in irgendeiner Weise konkurrieren könnte. Die Parteien bewerteten das Konkurrenzverbot durch Festsetzung einer Konventionalstrafe mit dem Betrag von Fr. 500'000.-- (Ziff. 3d Vertrag 1994). Der Vertrag 1994 war auf mindestens zwei Jahre (Ziff. 6a), anschliessend auf unbestimmte Zeit geschlossen; die Vertragspartner rechneten jedoch mit einer Laufzeit bis in das Jahr 1998 (Ziff. 9). Der Beschwerdeführer verpflichtete sich damit zum Konkurrenzverbot für eine Dauer von mindestens fünf Jahren. Während dieser gesamten Zeit hatte er die Konkurrenzierung gegenüber der A._______ im fraglichen Bereich zu unterlassen und er erbrachte damit während dieser Zeitspanne eine Dienstleistung im Sinne von Art. 6 Abs. 2 Bst b MWSTV. Die Dienstleistung fiel während ganz weniger - und damit vernachlässigbarer - Tage (vom 22. bis und mit 31. Dezember 1994) noch unter die Geltungsdauer des Warenumsatzsteuerrechts, im Übrigen mindestens in den Jahren 1995 bis 1999 nach Art. 84 Abs. 4 Satz 2 MWSTV in den Anwendungsbereich des Mehrwertsteuerrechts. Da die Vertragsdauer unbestimmt war, könnte der verhältnismässige Anteil der vor dem 1. Januar 1995 erbrachten Dienstleistung bis zum Vertragsende gar nicht berechnet werden. Es war ohnehin nicht anzunehmen, dass der Beschwerdeführer in den letzten Tagen des Jahres 1994 das Konkurrenzverbot noch verletzen konnte oder lediglich für diese Zeit entschädigt werden sollte. Die A._______ hat das Entgelt für das Konkurrenzverbot frühestens ab dem 31. Januar 1995 geleistet (Ziff. 9 Vertrag 1994). Damit unterliegt das für das Konkurrenzverbot vom Beschwerdeführer vereinbahrte und vereinnahmte Entgelt von Fr. 500'000.-- der Mehrwertsteuer nach Art. 4 Bst. b MWSTV. Die Beschwerde ist in diesem Punkt abzuweisen.</w:t>
      </w:r>
    </w:p>
    <w:p>
      <w:r>
        <w:rPr>
          <w:b/>
        </w:rPr>
        <w:t>E. 3.4</w:t>
      </w:r>
    </w:p>
    <w:p>
      <w:r>
        <w:t>Der Beschwerdeführer macht ferner geltend, die Vergütung der A._______ für den Vertrag 1994 sei von Fr. 100'000.-- (Ziff. 7 Vertrag 1994) um Fr. 50'000.-- reduziert worden, da die an die B._______ bezahlte Summe auf Fr. 50'000.-- (zuzüglich 6.5% Mehrwertsteuer) festgelegt worden sei. Das Entgelt war (indirekt) für eine Leistung der B._______ im Jahr 1995 geschuldet, weshalb die einschlägigen Vorschriften des Mehrwertsteuerrechts anwendbar sind. Auch diese Entgeltsminderung ist durch den Beschwerdeführer zu beweisen. Der Mehrwertsteuerpflichtige legte dazu einen Kontoauszug der B._______ vor, der im Zeitraum vom 31. Dezember 1995 bis zum 31. Januar 1997 verschiedene Umbuchungen, Akontozahlungen und Zahlungen im Zusammenhang mit dem Beschwerdeführer erfasst. Im Einzelnen werden eine Forderung gegenüber dem Mehrwertsteuerpflichtigen per 31. Dezember 1995 von Fr. 59'107.50 und fünf verschiedene Zahlungen bzw. Umbuchungen bis zur gleichen Höhe vom 11. April 1996 bis 31. Januar 1997 zugunsten der B._______ ausgewiesen. Dieser Kontoauszug ist aber in keiner Art und Weise als Nachweis dafür geeignet, dass der Beschwerdeführer statt des vertraglich vereinbarten Betrages von Fr. 100'000.-- (Ziff. 7 Vertrag 1994) lediglich Fr. 50'000.-- von der A._______ erhalten bzw. sich das erhaltene Entgelt um Fr. 50'000.-- reduziert hat. Ebenso wenig vermögen die beiden mit der Beschwerde eingereichten Kontoauszüge der B._______ eine solche Entgeltsminderung zu beweisen. Im ersten Beleg wird am 3. Dezember 1995 eine Zahlung des Mehrwertsteuerpflichtigen von Fr. 53'250.-- und die "Übernahme Debitoren" erfasst, im zweiten Beleg, datiert vom selben Tag, eine Schuld der A._______ in gleicher Höhe und deren entsprechende "Übernahme auf Debitoren". Unbewiesen ist, ob die beiden Buchungen vom 3. Dezember 1995 mit derjenigen vom 31. Dezember 1995 in irgendeinem Zusammenhang stehen. Angesichts der zahlreichen Geschäftsvorfälle zwischen den Parteien kann der Beschwerdeführer damit nicht beweisen, dass er eine Entgeltsminderung von Fr. 50'000.-- unter dem Vertrag 1994 erfahren hatte, weil die A._______ den entsprechenden Betrag der B._______ leistete. Dies gilt umso mehr, als der Zahlungsgrund in den Buchungen der B._______ jeweils fehlt. Die Beschwerde ist in diesem Punkt abzuweisen.</w:t>
      </w:r>
    </w:p>
    <w:p>
      <w:r>
        <w:rPr>
          <w:b/>
        </w:rPr>
        <w:t>E. 3.5</w:t>
      </w:r>
    </w:p>
    <w:p>
      <w:r>
        <w:t>Schliesslich behauptet der Beschwerdeführer, er habe von der vertraglich vereinbarten Zahlung der A._______ von Fr. 75'000.-- per 31. Januar 1998 (Ziff. 9 Vertrag 1994) lediglich Fr. 10'000.-- erhalten und macht eine Entgeltsminderung von Fr. 65'000.-- geltend. Dem Mehrwertsteuerpflichtigen obliegt der Beweis steuermindernder Tatsachen; er beruft sich dabei auf eine von der A._______ entworfene Erklärung vom 30. Dezember 1997, wonach gegen Leistung der A._______ von Fr. 10'000.-- "alle Leistungen seit Beginn der Zusammenarbeit im Jahre 1992 bis dato per Saldo aller Ansprüche abgegolten sind." Der Vertrag 1994 selbst wurde durch diese Erklärung jedoch nicht aufgehoben; es erfolgte lediglich eine Regulierung aller bisher aufgelaufenen Schulden der A._______. Die Erklärung vom 30. Dezember 1997 konnte die Zahlung der A._______, die die Produktion der Publikation im Jahr 1998 abdecken sollte und die erst am 31. Januar 1998 fällig wurde (Ziff. 9 Vertrag 1994) nicht umfassen. Es handelte sich dabei nicht um eine Leistung "bis dato". Die Erklärung kann nach ihrem Wortlaut nur Leistungen erfassen, die bis zum 30. Dezember 1997 ("bis dato") zwischen den Parteien ausgetauscht und abgegolten waren. Die Erklärung betraf hingegen keine zukünftigen Leistungen oder deren Entgelte, insbesondere auch nicht solche, die nach dem 30. Dezember 1997 fällig wurden. Es kann damit offen bleiben, ob der Verzicht auf die Forderungen mangels Unterzeichnung der Erklärung durch den Beschwerdeführer zwischen den Parteien überhaupt gültig zustande gekommen ist. Es kommt schliesslich dazu, dass dem Mehrwertsteuerpflichtigen erst am 28. März 2001 die Abrechnung nach vereinnahmten Entgelten von der ESTV bewilligt wurde. Der Beschwerdeführer kann deshalb keine mehrwertsteuerlich relevante Ertragsminderung geltend machen; die Beschwerde ist insoweit abzuweisen.</w:t>
      </w:r>
    </w:p>
    <w:p>
      <w:r>
        <w:rPr>
          <w:b/>
        </w:rPr>
        <w:t>E. 4.1</w:t>
      </w:r>
    </w:p>
    <w:p>
      <w:r>
        <w:t>Nach dem Gesagten ist die Beschwerde im Sinne der Erwägungen teilweise gutzuheissen, der Einspracheentscheid der ESTV vom 10. November 2004 aufzuheben und die Sache zur Neufestsetzung des geschuldeten Mehrwertsteuerbetrages an die Verwaltung zurückzuweisen.</w:t>
      </w:r>
    </w:p>
    <w:p>
      <w:r>
        <w:rPr>
          <w:b/>
        </w:rPr>
        <w:t>E. 4.2</w:t>
      </w:r>
    </w:p>
    <w:p>
      <w:r>
        <w:t>Die Verfahrenskosten werden mit Fr. 3'000.-- bestimmt. Angesichts des geringen Obsiegens werden diese dem Beschwerdeführer im Umfang von Fr. 2'500.-- auferlegt und mit dem von ihm geleisteten Kostenvorschuss in diesem Teilbetrag verrechnet (Art. 63 Abs. 1 VwVG und Art. 4 des Reglements vom 11. Dezember 2006 über die Kosten und Entschädigungen vor dem Bundesverwaltungsgericht [VGKE, SR 173.320.2]). Der restliche Kostenvorschuss von Fr. 500.-- wird dem Beschwerdeführer nach dem Eintritt der Rechtskraft des vorliegenden Urteils zurückerstattet. Die (reduzierte) Parteientschädigung an den Beschwerdeführer zu Lasten der ESTV wird gestützt auf Art. 7 Abs. 2 i.V.m. Art. 14 Abs. 2 VGKE auf Fr. 800.-- (einschliesslich Auslagen und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