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A-1388/2006 vom 11. Oktober 2007</w:t>
      </w:r>
    </w:p>
    <w:p>
      <w:r>
        <w:t>Bundesverwaltungsgericht, 2007-10-11, DE</w:t>
      </w:r>
    </w:p>
    <w:p>
      <w:r>
        <w:rPr>
          <w:b/>
        </w:rPr>
        <w:t xml:space="preserve">Quelle: </w:t>
      </w:r>
      <w:r>
        <w:t>https://mcp.opencaselaw.ch/entscheid/bvger_A-1388_2006</w:t>
      </w:r>
    </w:p>
    <w:p>
      <w:r>
        <w:t>FR: TAF A-1388/2006 du 11 octobre 2007</w:t>
      </w:r>
    </w:p>
    <w:p>
      <w:r>
        <w:t>IT: TAF A-1388/2006 del 11 ottobre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am 31. Dezember 2006 bei der SRK hängigen Beschwerde und wendet das neue Verfahrensrecht an (Art. 53 Abs. 2 VGG).</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 in André Moser/Peter Uebersax, Prozessieren vor eidgenössischen Rekurskommissionen, Basel und Frankfurt a.M. 1998, Rz. 2.59 ff.). Im Verwaltungsbeschwerdeverfahren gelten die Untersuchungsmaxime, wonach der Sachverhalt von Amtes wegen festzustellen ist (Art. 12 VwVG;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 Das Bundesverwaltungsgericht ist demzufolge verpflichtet, auf den festgestellten Sachverhalt die richtige Rechtsnorm anzuwenden (Häfelin/Müller/Uhlmann, a.a.O., Rz. 1632), d.h. jenen Rechtssatz anzuwenden, den es als den zutreffenden erachtet, und ihm jene Auslegung zu geben, von der es überzeugt ist (vgl. BGE 119 V 347 E. 1a). Dies bedeutet, dass es eine Beschwerde auch aus einem anderen als den geltend gemachten Gründen gutheissen oder den angefochtenen Entscheid im Ergebnis mit einer Begründung bestätigen kann, die von jener der Vorinstanz abweicht (sog. Motivsubstitution, vgl. Urteile des Bundesverwaltungsgerichts A-1677/2006 vom 20. August 2007 E. 2, B-7406/2006 vom 1. Juni 2007 E. 2; Entscheid der Eidgenössischen Alkoholrekurskommission vom 20. Oktober 1998, Verwaltungspraxis der Bundesbehörden [VPB] 63.64 E. 1; Entscheid der SRK vom 12. Oktober 1998, VPB 63.29 E. 4a). Soll sich dabei dieser neue Entscheid auf Rechtsnormen stützen, mit deren Anwendung die Parteien nicht rechnen mussten, so ist ihnen Gelegenheit zu geben, sich hierzu vorgängig zu äussern (BGE 124 I 49 E. 3c).</w:t>
      </w:r>
    </w:p>
    <w:p>
      <w:r>
        <w:rPr>
          <w:b/>
        </w:rPr>
        <w:t>E. 1.3</w:t>
      </w:r>
    </w:p>
    <w:p>
      <w:r>
        <w:t>Die Beschwerdeführerin firmiert seit dem 2. März 2006 nicht mehr unter der Firma A._______AG, sondern X._______AG (vgl. SHAB Nr. 47 vom 8. März 2006, Seite ...). Davon ist Vormerk zu nehmen und ist das Rubrum dieses Urteils entsprechend anzupassen.</w:t>
      </w:r>
    </w:p>
    <w:p>
      <w:r>
        <w:rPr>
          <w:b/>
        </w:rPr>
        <w:t>E. 1.4</w:t>
      </w:r>
    </w:p>
    <w:p>
      <w:r>
        <w:t>Am 1. Januar 2001 sind das Bundesgesetz vom 2. September 1999 über die Mehrwertsteuer (MWSTG, SR 641.20) sowie die zugehörige Verordnung in Kraft getreten. Der zu beurteilende Sachverhalt hat sich indessen in den Jahren 1998 bis 2000 zugetragen. Auf die vorliegende Beschwerde ist damit noch altes Recht der Verordnung vom 22. Juni 1994 über die Mehrwertsteuer (MWSTV, AS 1994 1464) anwendbar (Art. 93 und 94 MWSTG).</w:t>
      </w:r>
    </w:p>
    <w:p>
      <w:r>
        <w:rPr>
          <w:b/>
        </w:rPr>
        <w:t>E. 2.1.1</w:t>
      </w:r>
    </w:p>
    <w:p>
      <w:r>
        <w:t>Juristische Personen mit Sitz oder Betriebsstätte in der Schweiz, welche eng miteinander verbunden sind, können nach Art. 17 Abs. 3 MWSTV beantragen, gemeinsam als ein einziger Steuerpflichtiger behandelt zu werden (BGE 125 II 326 E. 9a/aa; Entscheid der SRK vom 6. Oktober 2003, VPB 68.57 E. 4; Alois Camenzind/Niklaus Honauer, Handbuch zur neuen Mehrwertsteuer, Bern 1995, Rz. 660 ff.). Die Wirkung beginnt mit dem im Antragsentscheid festgelegten Zeitpunkt; jede in einer MWST-Gruppe zusammengefasste Unternehmung haftet für Steuerschulden der Gruppe gegenüber der ESTV solidarisch (Ziffer 14 Merkblatt zur Gruppenbesteuerung vom 30. November 1994 [Merkblatt 1994]; Camenzind/Honauer, a.a.O., Rz. 675). Gemäss Ziff. 13.5 des Merkblatts 8.95 [Merkblatt 1995] haftet jedes in eine Mehrwertsteuergruppe einbezogene Mitglied für die während seiner Mitgliedschaft entstandenen Steuerschulden solidarisch. Beim Übertritt in eine neue Gruppe entsteht beim Eintretenden keine solidarische Haftung für Steuerschulden der Gruppe, die vor dem Eintritt entstanden sind (Alois Camenzind/Niklaus Honauer/Klaus A. Vallender, Handbuch zum Mehrwertsteuergesetz [MWSTG], Bern 2003, 2. Aufl., Rz. 1155). Gemäss der Praxis der ESTV haften bei- und austretende Gesellschaften nur für die während der Dauer ihrer Gruppenzugehörigkeit entstandenen Steuerforderungen solidarisch (Willi Leutenegger, mwst.com, Kommentar zum Bundesgesetz über die Mehrwertsteuer, Basel 2000, N. 24 zu Art. 22; Thomas P. Wenk, mwst.com, a.a.O., N. 29 zu Art. 32). Rückwirkende Eintragungen von Mehrwertsteuergruppen werden (ausser im Fall von Umstrukturierungen) nicht bewilligt (Ziff. 9 Merkblatt 1995). Daraus folgt, dass bis zu seinem Beitritt ein Gruppenmitglied individuell zu besteuern ist (Entscheide der SRK vom 6. Oktober 2003, VPB 68.57 E. 7a/aa und vom 8. April 2003, VPB 67.126 E. 2d, 3a). Für die vor seinem Beitritt zur Mehrwertsteuergruppe entstandenen Steuerforderungen besteht mithin keine Solidarhaftung der Gruppenmitglieder.</w:t>
      </w:r>
    </w:p>
    <w:p>
      <w:r>
        <w:rPr>
          <w:b/>
        </w:rPr>
        <w:t>E. 2.1.2</w:t>
      </w:r>
    </w:p>
    <w:p>
      <w:r>
        <w:t>Die D._______AG unterlag nach dem Entscheid der ESTV erst ab dem 1. April 1998 der Gruppenbesteuerung nach Art. 17 Abs. 3 MWSTV; ein rückwirkender Beitritt aufgrund einer Umstrukturierung (E. 2.1.1) wird von der ESTV nicht behauptet. Die D._______AG musste deshalb - im Gegensatz zur Darstellung der ESTV - bis zum 31. März 1998 individuell und konnte nicht im Rahmen der Gruppenbesteuerung über die Beschwerdeführerin besteuert werden. Für die Steuerperioden vor dem Beginn der Gruppenbesteuerung tritt der Gruppenträger - ohne anders lautende ausdrückliche Vereinbarung der Beteiligten - nicht in die administrativen Rechte und Pflichten des Gruppenmitglieds ein und wird so diesbezüglich auch nicht automatisch zum Zustelldomizil. Die Gruppenträgerin könnte die D._______AG damit lediglich vertraglich vertreten, was im vorliegenden Fall jedoch nicht geschehen ist. Das Gruppenmitglied kann für die Zeit vor Beginn seiner Mitgliedschaft eigene Parteirechte beanspruchen und geltend machen. Es hat Anspruch darauf, einen auf die eigene Firma lautenden, einsprache- und beschwerdefähigen Entscheid korrekt und mit Rechtsmittelbelehrung eröffnet zu erhalten, der allenfalls nach einem separaten Einsprache- und Beschwerdeverfahren in einen Vollstreckungstitel enden würde. Im anderen Fall müsste der angefochtene Einspracheentscheid das Vertretungsverhältnis der Beschwerdeführerin ausdrücklich aufnehmen, denn die Wirkungen der Gruppenbesteuerung können erst mit deren Beginn eintreten. Es wäre stossend, wenn für den Fall, dass die Gruppenträgerin Einsprache- und Beschwerdefristen verpassen würde, dies auch bei fehlender ausdrücklicher vertraglicher Vertretung für die Zeit vor dem Beitritt zur Gruppe zu Lasten des neuen Gruppenmitglieds ginge. Es kann aus diesem Grund der ESTV nicht zugestimmt werden, der Gruppenträger trete für die vergangenen Steuerperioden in die (administrativen) Rechte und Pflichten des neuen Gruppenmitglieds ein. Eine Steuernachfolge im Sinn des Art. 23 Abs. 2 MWSTV liegt gerade nicht vor (vgl. Camenzind/Honauer, a.a.O., Rz. 749 ff.). Die Steuernachfolge ist für den Fall vorgesehen, in dem ein Steuersubjekt ohne Liquidation mit Aktiven und Passiven übernommen wird (Schafroth/Romang, mwst.com, a.a.O., N. 2 zu Art. 30). Diese Vorschrift dient der Sicherung des Steuereinzugs (vgl. dazu Camenzind/Honauer/Vallender, a.a.O., Rz. 1150). Im vorliegenden Fall bleibt die D._______AG auch nach ihrem Beitritt zur Mehrwertsteuergruppe als eigenständiges Unternehmen bestehen. Es besteht kein Grund, Mehrwertsteuerforderungen gegen die D._______AG aus der Zeit vor ihrem Beitritt zur Mehrwertsteuergruppe in einem auf die Gruppenträgerin lautenden Verfahren zu beurteilen und zu entscheiden. Der EA Nr. 249'441 vom 29. März 2001 (Seite B Anhang 4) liegen Mehrwertsteuerforderungen allein gegen die D._______AG von Fr. 21'255.-- das Jahr 1996, von Fr. 16'705.-- das Jahr 1997 und Fr. 16'474.-- das Jahr 1998 betreffend zugrunde. Für die Zeit vom 1. Januar 1996 bis 31. März 1998 wurde die D._______AG zu Unrecht in den Rahmen der Gruppenbesteuerung einbezogen; mit anderen Worten, wurde die Beschwerdeführerin zu Unrecht als (administrative) Rechtsnachfolgerin der D._______AG betrachtet. Die Beschwerde ist deshalb insoweit gutzuheissen. Die ESTV wird die D._______AG für den erwähnten Zeitraum in einem individuellen Verfahren besteuern müssen, was zur Folge haben wird, dass der D._______AG eigene Einsprache- und Beschwerdemöglichkeiten offenstehen werden.</w:t>
      </w:r>
    </w:p>
    <w:p>
      <w:r>
        <w:rPr>
          <w:b/>
        </w:rPr>
        <w:t>E. 2.2</w:t>
      </w:r>
    </w:p>
    <w:p>
      <w:r>
        <w:t>Nach Art. 4 MWSTV unterliegen Lieferungen und Dienstleistungen der Mehrwertsteuer nur, wenn sie gegen Entgelt erbracht werden. Die Entgeltlichkeit erfordert einen Leistungsaustausch zwischen dem steuerpflichtigen Leistungserbringer und dem Empfänger. Das Bundesgericht hat zum Begriff des Leistungsaustauschs in grundsätzlicher Hinsicht Stellung genommen (BGE 126 II 451 E. 6; vgl. auch Urteil des Bundesgerichts vom 25. August 2000, veröffentlicht in Steuer-Revue [StR] 1/2001 S. 55 ff. E. 6; vgl. auch Urteile des Bundesverwaltungsgerichts A-1379/2006 vom 10. September 2007 E. 2.4 und A-1354/A-1409 vom 24. August 2007 E. 3.4). Danach findet erst mit dem Austausch von Leistungen ein steuerbarer Umsatz statt. Die Leistung besteht entweder in einer Lieferung oder Dienstleistung, die Gegenleistung des Empfängers im Entgelt. Zusätzlich ist eine wirtschaftliche Verknüpfung zwischen Leistung und Gegenleistung erforderlich. Es muss ein ursächlicher Zusammenhang zwischen Leistung und Gegenleistung bestehen (Daniel Riedo, Vom Wesen der Mehrwertsteuer als allgemeine Verbrauchsteuer und von den entsprechenden Wirkungen auf das schweizerische Recht, Bern 1999, S. 223 ff.). Dies ist insbesondere dann der Fall, wenn der Leistungsaustausch auf einem Vertrag beruht (BGE 126 II 249 E. 4a, 443 E. 6a). Ein Leistungsaustausch kann aber unter Umständen auch gegeben sein, ohne dass ein Vertrag vorliegt (Urteil des Bundesgerichts vom 8. Juni 2000, veröffentlicht in: MWST-Journal 2/200 S. 151 f. E. 4a).</w:t>
      </w:r>
    </w:p>
    <w:p>
      <w:r>
        <w:rPr>
          <w:b/>
        </w:rPr>
        <w:t>E. 2.3</w:t>
      </w:r>
    </w:p>
    <w:p>
      <w:r>
        <w:t>Die Mehrwertsteuer stellt auf wirtschaftliche Vorgänge ab; sie besteuert den wirtschaftlichen Konsum. Bestand und Umfang einer der Mehrwertsteuer unterstehenden Leistung wird aufgrund der wirtschaftlichen Betrachtungsweise bestimmt. Die mehrwertsteuerliche Qualifikation von Vorgängen hat nicht in erster Linie aus einer zivil-, sprich vertragsrechtlichen Sicht, sondern nach wirtschaftlichen, tatsächlichen Kriterien zu erfolgen (Urteil des Bundesgerichts 2A.304/2003 vom 14. November 2003 E. 3.6.1 mit Hinweisen; Entscheide der SRK vom 5. Juli 2005, VPB 70.7 E. 2a mit Hinweisen, vom 18. November 2002, VPB 67.49 E. 3c/aa mit Hinweisen; ausführlich: Riedo, a.a.O., S. 112 Fn. 125; Jean-Marc Rivier/Annie Rochat, La taxe sur la valeur ajoutée, Fribourg 2000, S. 24).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publiziert in Archiv für Schweizerisches Abgaberecht [ASA] 73 S. 569 E. 3.2; Urteil des Bundesverwaltungsgerichts A-1341/2006 vom 7. März 2007 E. 2.4).</w:t>
      </w:r>
    </w:p>
    <w:p>
      <w:r>
        <w:rPr>
          <w:b/>
        </w:rPr>
        <w:t>E. 2.4</w:t>
      </w:r>
    </w:p>
    <w:p>
      <w:r>
        <w:t>Die Steuer wird gemäss Art. 26 Abs. 1 MWSTV vom Entgelt berechnet. Zum Entgelt gehört nach Art. 26 Abs. 2 MWSTV alles, was der Empfänger oder an seiner Stelle ein Dritter als Gegenleistung für die Lieferung oder Dienstleistung aufwendet. Die Gegenleistung umfasst auch den Ersatz aller Kosten, selbst wenn diese gesondert in Rechnung gestellt werden. Wenn Lieferungen oder Dienstleistungen in Verrechnung mit Gegenleistungen (Lieferungen oder Dienstleistungen) abgegolten werden, haben beide Vertragspartner den vollen Wert der eigenen Lieferung und den vollen Wert der Gegenleistung zu verbuchen. Die blosse Verbuchung des Differenzbetrages zwischen den gegenseitigen Leistungen ist nicht gestattet, und zwar auch dann nicht, wenn es sich beim Vertragspartner um einen Nichtsteuerpflichtigen oder einen Privaten handelt (Ziffer 924 Wegleitung 1997 für Mehrwertsteuerpflichtige [Wegleitung 1997]). Wird bei solchen Verrechnungsgeschäften in einer einzigen Rechnung abgerechnet, darf diese nicht nur den Aufpreis ausweisen. Es müssen für beide Leistungen das volle Entgelt und der entsprechende Mehrwertsteuerbetrag ausgewiesen sein. Zudem muss die Mehrwertsteuernummer von beiden Beteiligten angegeben sein (Ziffer 763 ff. Wegleitung 1997).</w:t>
      </w:r>
    </w:p>
    <w:p>
      <w:r>
        <w:rPr>
          <w:b/>
        </w:rPr>
        <w:t>E. 2.5</w:t>
      </w:r>
    </w:p>
    <w:p>
      <w:r>
        <w:t>Die Veranlagung und Entrichtung der Mehrwertsteuer erfolgt nach dem Selbstveranlagungsprinzip (Art. 37 f. MWSTV; vgl. Ernst Blumenstein/Peter Locher, System des Steuerrechts, 6. Aufl., Zürich 2002, S. 421 ff.). Dies bedeutet, dass der Steuerpflichtige selbst und unaufgefordert über seine Umsätze und Vorsteuern abzurechnen und innerhalb von 60 Tagen nach Ablauf der Abrechnungsperiode den geschuldeten Mehrwertsteuerbetrag an die ESTV abzuliefern hat. Die ESTV ermittelt die Höhe des geschuldeten Mehrwertsteuerbetrags nur dann an Stelle des Steuerpflichtigen, wenn dieser seinen Pflichten nicht nachkommt. Der Steuerpflichtige hat seine Mehrwertsteuerforderung selbst festzustellen; er ist allein für die vollständige und richtige Versteuerung seiner steuerbaren Umsätze und für die korrekte Ermittlung der Vorsteuer verantwortlich (Urteile des Bundesverwaltungsgerichts vom 10. September 2007, a.a.O., E. 2.5 und A 1429/2006 vom 29. August 2007 E. 2.1; Isabelle Homberger Gut, mwst.com, a.a.O., N. 1 ff. zu Art. 46; Camenzind/Honauer/Vallender, a.a.O., Rz. 1579 ff.).</w:t>
      </w:r>
    </w:p>
    <w:p>
      <w:r>
        <w:rPr>
          <w:b/>
        </w:rPr>
        <w:t>E. 2.6</w:t>
      </w:r>
    </w:p>
    <w:p>
      <w:r>
        <w:t>Nach Art. 48 MWSTV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(BGE 105 Ib 182 ff.; ASA 61 S. 819 E. 3a; Urteil des Bundesgerichts 2A.109/2005 vom 10. März 2006 E. 2.2; Urteile des Bundesverwaltungsgerichts vom 10. September 2007, a.a.O., E. 2.6, vom 29. August 2007, a.a.O., E. 2.3). Selbst eine formell einwandfreie Buchführung kann die Durchführung einer Schätzung erfordern, wenn die in den Büchern enthaltenen Geschäftsergebnisse von den Erfahrungszahlen wesentlich abweichen (ASA 58 S. 383 E. 2b, 42 S. 407 E. 2c, 35 S. 479 E. 2). Die Verwaltung hat diejenige Schätzungsmethode zu wählen, die den individuellen Verhältnissen im Betrieb des Steuerpflichtigen soweit als möglich Rechnung trägt, auf plausiblen Angaben beruht und deren Ergebnis der wirklichen Situation möglichst nahe kommt (ASA 61 S. 819 E. 3a; Urteil des Bundesgerichts 2A.253/2005 vom 3. Februar 2006 E. 4.1). In Betracht fallen einerseits Methoden, die auf eine Ergänzung oder Rekonstruktion der ungenügenden Buchhaltung hinauslaufen, andererseits Umsatzschätzungen aufgrund unbestrittener Teil-Rechnungsergebnisse in Verbindung mit Erfahrungssätzen (ASA 73 S. 233 f. E. 2c/aa; Urteil des Bundesverwaltungsgerichts A 1397/2006 vom 19. Juli 2007 E. 2.4; Entscheid der SRK vom 24. Oktober 2005, VPB 70.41 E. 2d.aa). Sind die Voraussetzungen einer Ermessenstaxation erfüllt, obliegt es dem Mehrwertsteuerpflichtigen, den Beweis für die Unrichtigkeit der Schätzung zu erbringen (Entscheide der SRK vom 15. Oktober 1999, VPB 64.47 E. 5b, vom 29. Oktober 1999 E. 5, bestätigt durch Urteil des Bundesgerichts 2A.580/1999 vom 21. Juni 2000). Erst wenn der Mehrwertsteuerpflichtige den Nachweis dafür erbringt, dass die Verwaltung mit der Ermessensveranlagung Bundesrecht verletzt bzw. dass ihr dabei erhebliche Ermessensfehler unterlaufen sind, nahm die SRK eine Korrektur der Schätzung vor (vgl. Entscheide der SRK vom 5. Januar 2000, VPB 64.83 E. 2, vom 25. August 1998, VPB 63.27 E. 5c, vom 24. Oktober 2005 [SRK 2003 105] E. 2d/bb). Für das Bundesverwaltungsgericht besteht kein Anlass, von diesem Vorgehen abzuweichen (Urteil des Bundesverwaltungsgerichts vom 19. Juli 2007, a.a.O., E. 2.5.2).</w:t>
      </w:r>
    </w:p>
    <w:p>
      <w:r>
        <w:rPr>
          <w:b/>
        </w:rPr>
        <w:t>E. 2.7</w:t>
      </w:r>
    </w:p>
    <w:p>
      <w:r>
        <w:t>Wer Leistungen ausdrücklich im Namen und für Rechnung des Vertretenen tätigt, so dass das Umsatzgeschäft direkt zwischen dem Vertretenen und dem Dritten zustande kommt, gilt diesbezüglich als blosser Vermittler (direkte Stellvertretung; Art. 10 Abs. 1 MWSTV). Handelt bei einer Leistung der Vertreter zwar für fremde Rechnung, tritt er aber nicht ausdrücklich im Namen des Vertretenen auf, so liegt sowohl zwischen dem Vertretenen und dem Vertreter als auch zwischen dem Vertreter und dem Dritten eine Leistung vor (indirekte Stellvertretung; Art. 10 Abs. 2 MWSTV). Tritt ein Stellvertreter im eigenen Namen auf, dann ist unter den gegebenen Voraussetzungen nicht der Vertretene, sondern der Vertreter selbst im Verhältnis zum Dritten Leistungserbringer oder -empfänger. Nur wenn der Vertreter ausdrücklich im Namen des Vertretenen handelt (direkte Stellvertretung), ist dieser und nicht der Vertreter als Leistungserbringer oder -abnehmer beteiligt; der Vermittler bewirkt keinen eigenen Umsatz, den es zu versteuern gäbe (statt vieler vgl. Urteile des Bundesgerichts 2A.272/2002, 2A.273/2002 und 2A.274/2002 vom 13. Januar 2003 jeweils E. 2 bis 4; Urteile des Bundesverwaltungsgerichts vom 10. September 2007, a.a.O., E. 2.3, A-1462/2006 vom 6. September 2007 E. 2.2; Entscheide der SRK vom 26. April 2006, VPB 70.77 E. 2b, vom 24. September 2003, VPB 68.54 E. 2a, vom 19. Mai 2000, VPB 64.110 E. 3b). Die direkte Stellvertretung wird nach den Ziffern 286 - 289 der Wegleitung 1997 durch einen schriftlichen Auftrag nachgewiesen, durch Dokumente wie Kaufvertrag, Rechnung und Quittung, aus denen hervorgeht, dass der Stellvertreter den Gegenstand oder die bezeichneten Gegenstände ausdrücklich im Namen und für Rechnung des Vertretenen verkauft hat und schliesslich durch eine schriftliche Abrechnung, mit welcher der Stellvertreter mit dem Vertretenen abrechnet. Von einer direkten Stellvertretung kann gemäss der Ziffer 2.1 der Praxismitteilung Behandlung von Formmängeln vom 26. Oktober 2006 (Praxismitteilung der ESTV vom 31. Oktober 2006 zur "Behandlung von Formmängeln", Einleitung, online auf: www.estv.admin.ch/d/mwst/dokumentation/praxis/2006.htm [Praxismitteilung], siehe unten E. 2.8) dennoch ausgegangen werden, wenn aus der Gesamtheit der relevanten Unterlagen eindeutig hervorgeht, dass der Vertrag direkt zwischen dem Leistungserbringer und dem Leistungsempfänger zustande gekommen und abgewickelt worden ist, der Vertreter dem Endabnehmer gegenüber keine Leistung erbringt oder für die Leistung der einen oder anderen Vertragspartei nicht einstehen muss, der Geschäftsvorfall korrekt, d.h. insbesondere beim Vertreter bloss die Provision erfolgswirksam verbucht wurde, der Vertretene für den Dritten erkennbar und aus der Gesamtheit der Unterlagen eindeutig identifiziert werden kann und der Vertreter dem Vertretenen gegenüber abrechnet.</w:t>
      </w:r>
    </w:p>
    <w:p>
      <w:r>
        <w:rPr>
          <w:b/>
        </w:rPr>
        <w:t>E. 2.8</w:t>
      </w:r>
    </w:p>
    <w:p>
      <w:r>
        <w:t>Am 1. Juli 2006 ist Art. 45a MWSTGV in Kraft getreten, welcher wie folgt lautet: "Allein aufgrund von Formmängeln wird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stellt materiell eine sogenannte Verwaltungsverordnung mit Aussenwirkung dar (zum Begriff: Häfelin/Müller/Uhlmann, a.a.O., Rz. 129 ff.; Fritz Gygi, Verwaltungsrecht, Bern 1986, S. 103), die darauf ausgerichtet ist, der ESTV für die Anwendung und Auslegung der entsprechenden Normen des Mehrwertsteuergesetzes Weisung zu erteilen. Als Dienstanweisung des Bundesrats an die ESTV mit Aussenwirkung entfaltet sie auch Auswirkungen auf das Verhältnis zwischen der Verwaltung und den steuerpflichtigen Personen. Der Bundesrat will damit eine einheitliche, gleichmässige, rechtsgleiche und sachrichtige Praxis in der Anwendung des geltenden Mehrwertsteuergesetzes sicherstellen und eine gleichmässige Ausübung des Ermessens durch die ESTV fördern (Praxismitteilung, a.a.O., Einleitung 3. Abschnitt; vgl. Häfelin/Müller/Uhlmann, a.a.O., Rz. 124). Die ESTV trägt diesen Verwaltungsanweisungen des Bundesrats nicht nur inskünftig Rechnung, sondern auch bezüglich aller per 1. Juli 2006 bestrittenen, noch pendenten Fälle, mithin rückwirkend (Praxismitteilung, a.a.O. Einleitung in fine). Da die Verwaltung mit dieser Rückwirkung eine Gleichbehandlung aller hängigen Verfahren beabsichtigt und mit der sofortigen Befolgung der Anweisungen des Bundesrats Rechtssicherheit schafft, dem überspitzten Formalismus entgegenwirkt und letztlich die Steuerneutralität anstrebt (vgl. Pascal Mollard, La TVA : vers une théorie du chaos?, in: Festschrift SRK, Lausanne 2004, S. 65, zur "tolérance administrative" bei Formvorschriften), sieht sich das Bundesverwaltungsgericht nicht veranlasst, die Rückwirkung der Verwaltungsanweisungen im Bereich von Formmängeln in Frage zu stellen (Urteile des Bundesverwaltungsgerichts A-1344/2006 vom 11. September 2007 E. 3.3.1, A 1438/2006 vom 11. Juni 2007 E. 3.3, A-1352/2006 vom 25. April 2007 E. 4.2, A 1365/2006 vom 19. März 2007 E. 2.3).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von Art. 45a MWSTGV unberührt (Urteile des Bundesverwaltungsgerichts vom 11. September 2007, a.a.O., E. 3.3.2, vom 11. Juni 2007, a.a.O., E. 3.3, vom 25. April 2007, a.a.O., E. 6).</w:t>
      </w:r>
    </w:p>
    <w:p>
      <w:r>
        <w:rPr>
          <w:b/>
        </w:rPr>
        <w:t>E. 3</w:t>
      </w:r>
    </w:p>
    <w:p>
      <w:r>
        <w:t>Die Beschwerdeführerin forderte in der Einsprache vom 20. Dezember 2002, den Betrag der EA Nr. 249'441 vom 29. März 2001 von Fr. 177'623.26 aufgrund der belegten Nachweise zu stornieren und einschliesslich Vergütungszins zurückzuzahlen. In der Beschwerde vom 18. Oktober 2004 an die SRK begehrte sie aufgrund einer geltend gemachten falschen Ermessenseinschätzung der ESTV für die Jahre 1996 bis 1998 und das 1. bis 3. Quartal 2000 eine Korrektur und eine Gutschrift im Umfang von Fr. 67'114.--; die Forderung erhöhte sie in der Eingabe vom 12. Januar 2005 auf Fr. 67'627.--. Mit der Eingabe vom 6. November 2006 machte die Beschwerdeführerin schliesslich gestützt auf die Praxismitteilung einen Rückerstattungsanspruch von Fr. 157'820.-- geltend (einschliesslich das Jahr 1999) mit der Begründung, sie habe im erhobenen Zeitraum im Umfang von 82% an private Leasingnehmer geliefert, die keine Vorsteuer geltend machen könnten; deswegen sei dem Staat durch die falsche Fakturierung kein Steuerausfall entstanden. Sie stellte aber die Sichtweise der ESTV über die mehrwertsteuerliche Belastung von zwei Umsätzen infolge ihrer indirekten Stellvertretung und die Schätzung der Umsätze nicht mehr in Frage (vgl. oben E. 2.6). Es bleibt dennoch zu prüfen, ob (i) die Ermessensschätzung der ESTV ausgehend vom errechneten Umsatz von Fr. 264'016.73 der Beschwerdeführerin (bzw. Fr. 327'493.-- der D._______AG) im Jahr 1999 für die Jahre 1996 - 1998 und das 1. bis 3. Quartal 2000 korrekt und (ii) ob auf Grund der Praxismitteilung gestützt auf Art 45a MWSTGV die Beschwerde begründet ist.</w:t>
      </w:r>
    </w:p>
    <w:p>
      <w:r>
        <w:rPr>
          <w:b/>
        </w:rPr>
        <w:t>E. 3.1</w:t>
      </w:r>
    </w:p>
    <w:p>
      <w:r>
        <w:t>Die Voraussetzungen der Ermessenschätzung bei der Beschwerdeführerin (und der D._______AG) waren erfüllt, da die ausgewiesenen Ergebnisse mit dem wirklichen Sachverhalt offensichtlich nicht übereinstimmten (vgl. oben E. 2.6). Die Beschwerdeführerin hat ihren Umsatz - wie sie heute auch selbst eingesteht - mehrwertsteuerlich falsch abgerechnet (vgl. oben E. 2.5). Damit obliegt es der Beschwerdeführerin, den Beweis für die Unrichtigkeit der Schätzung zu erbringen. Die ESTV hat den massgeblichen Umsatz der Beschwerdeführerin für das Jahr 1999 aufgrund der vorhandenen Belege auf Fr. 264'016.73 berechnet. Die Beschwerdeführerin bestreitet die Richtigkeit dieser Berechnung nicht. Gleichermassen hat die ESTV den Umsatz der D._______AG für das Jahr 1999 mit Fr. 327'493.47 festgestellt; auch dagegen wendet die Beschwerdeführerin nichts ein. Es ist zunächst durchaus plausibel, wenn die ESTV im Verhältnis zum Umsatz Wagenhandel der Beschwerdeführerin von ausgeglichenen Umsätzen für alle Jahre der Kontrollperiode ausgeht (1996 Fr. 209'000.--, 1997 Fr. 249'000.--, 1998 Fr. 242'000.-- und 1. bis 3. Quartal 2000 Fr. 198'000.--), da keine objektiven Umstände für unterschiedliche Geschäftstätigkeiten der Beschwerdeführerin im Kontrollzeitraum vorlagen. Zum Beweis ihrer davon abweichenden Behauptungen legt die Beschwerdeführerin einzig eine grössere Anzahl Rechnungen vor, die ihren und der D._______AG relevanten Umsatz im Zeitraum vom 1. Januar 1996 bis 31. Dezember 1998 und 1. Januar bis 30. September 2000 beweisen sollen. Sie will gestützt darauf, gemäss ihrem Schreiben vom 6. November 2006, die folgenden Umsätze mit der Leasinggesellschaft erzielt haben: 1996 Fr. 68'567.--, 1997 Fr. 145'609.--, 1998 Fr. 240'947.--, 1. bis 3. Quartal 2000 Fr. 156'128.--. Sie legt aber nicht, z.B. durch revidierte Erfolgsrechnungen und Bilanzen oder durch Geschäftsberichte und (Branchen)Umsatzstatistiken oder durch Konjunkturdaten, dar, weshalb sie in den Jahren 1996 und 1997 einen wesentlich tieferen Umsatz als in den Jahren 1998 und 1999 erzielt haben will oder worin sich der Aufschwung in den Jahren 1998 und 1999 und der erneute Abschwung im Jahr 2000 objektiv begründen liesse. Sie gibt auch keinerlei Begründung für die Abweichung in den ersten drei Quartalen des Jahres 2000. Die Schätzung der ESTV für das Jahr 1998 ist schliesslich im Vergleich zur Darstellung der Beschwerdeführerin über ihren tatsächlichen Umsatz ohnehin praktisch identisch; sie weist eine (zufällige) Differenz von lediglich Fr. 1'053.-- zu Gunsten der Beschwerdeführerin aus. Das vermag die Zuverlässigkeit und Begründung der Schätzung der ESTV zu stützen. Die Beschwerdeführerin kommt damit ihrer Beweispflicht einer unkorrekten Ermessenseinschätzung durch die ESTV nicht nach (E. 2.6), weshalb es bei den Ergebnissen der ESTV sein Bewenden haben muss. Das Gleiche gilt für die D._______AG im relevanten Zeitraum vom 1. April bis 31. Dezember 1998 und in den ersten drei Quartalen des Jahres 2000. Die ESTV schätzte den Umsatz der D._______AG ausgehend vom Umsatz 1999 von Fr. 327'493.--, der von der Beschwerdeführerin anerkannt wird und legte die Schätzung für das Jahr 1998 von Fr. 255'000.-- und für das 1. bis 3. Quartal 2000 von Fr. 245'000.-- um. Demgegenüber behauptet die Beschwerdeführerin einen tatsächlichen Umsatz von Fr. 126'450.-- im Jahr 1998 und einen solchen von Fr. 214'933.- im ersten bis 3. Quartal 2000. Es findet sich jedoch keinerlei Begründung oder Nachweis der Beschwerdeführerin, weshalb der Umsatz der D._______AG im Jahr 1998 nur ca. 38.6 % des Umsatzes 1999 betragen hatte. Ebenso wenig wird die Abweichung für die ersten drei Quartale des Jahres 2000 begründet. Die Rechnungen an die Kunden allein können auch bei der D._______AG den Beweis der Ermessensüberschreitung der ESTV nicht erbringen. Sie müssten durch revidierte Bilanzen, Erfolgrechnungen mit den entsprechenden Kontenblättern, Geschäftsberichten und Angaben über den allgemeinen und ihren besonderen Geschäftsverlauf hinterlegt werden. Die Beschwerdeführerin kommt damit ihrer Beweispflicht auch in Bezug auf die D._______AG nicht nach (E. 2.6), weshalb die Ermessenschätzung der ESTV auch in dieser Hinsicht nicht zu beanstanden ist.</w:t>
      </w:r>
    </w:p>
    <w:p>
      <w:r>
        <w:rPr>
          <w:b/>
        </w:rPr>
        <w:t>E. 3.2</w:t>
      </w:r>
    </w:p>
    <w:p>
      <w:r>
        <w:t>Nach Art 45a MWSTGV wird allein aufgrund von Formmängeln keine Steuernachforderung erhoben, wenn erkennbar ist oder die steuerpflichtige Person nachweist, dass durch die Nichteinhaltung einer Formvorschrift des Gesetzes oder dieser Verordnung für die Erstellung von Belegen für den Bund kein Steuerausfall entstanden ist (E. 2.8). Damit steht die materielle Steuerprüfung im Vordergrund. Dabei soll der tatsächliche Sachverhalt ermittelt bzw. festgestellt, aufgrund der einschlägigen mehrwertsteuerlichen Gesetzesbestimmungen beurteilt und die sich daraus ergebenden Rechtsfolgen bestimmt werden (vgl. Einleitung der Praxismitteilung). Die Beschwerdeführerin (bzw. die D._______AG) haben jeweils zwei Umsatzgeschäfte im eigenen Namen abgeschlossen, die je für sich mehrwertsteuerpflichtig waren, nämlich (i) die Rechnungsstellung als indirekte Stellvertreterin auf Rechnung des Leasinggebers an ihre Kunden (Leasingnehmer) für die erste Miete und die Kaution des Leasingfahrzeugs, unter der sie die Mehrwertsteuer abgerechnet hat, und (ii) im eigenen Namen und auf eigene Rechnung die Übertragung des Eigentums am Leasingfahrzeug an den finanzierenden Leasinggeber, dem sie den vollen Kaufpreis des jeweiligen Fahrzeugs hätte unter Abrechnung der Mehrwertsteuer in Rechnung stellen müssen (E. 2.4). Die Beschwerdeführerin anerkennt heute, "dass die damalige Fakturierung formell falsch war" (Eingabe vom 6. November 2006). Es liegt dadurch aber noch kein Formmangel im Sinn von Art. 45a MWSTGV vor. Wenn sich die Beschwerdeführerin - aus welchen Gründen auch immer - entschieden hat, dem Leasingnehmer und dem Leasinggeber formgültige und korrekte, separate Rechnungen zuzustellen und gegenüber dem Leasingnehmer im Interesse des Leasinggebers im eigenen Namen (als indirekte Stellvertreterin) aufzutreten, war dies eine durchaus mögliche (und auch häufig gewählte) zivilrechtliche und wirtschaftliche Konstellation (Entscheide der SRK vom 26. April 2006, VPB 70.77 E. 2b, vom 31. März 2002, VPB 68.126 E. 3 a/b), die allerdings mit den entsprechenden (vielleicht unerwünschten) mehrwertsteuerrechtlichen Konsequenzen verbunden war. Das mehrwertsteuerliche Resultat des wirtschaftlichen Vorgehens durch die Beschwerdeführerin ist zu akzeptieren. Damit spielt es auch keine Rolle, wieviele Fahrzeuge die Beschwerdeführerin und die D._______AG an nicht mehrwertsteuerpflichtige Leasingnehmer verkauften, denn wenn kein Formmangel besteht, stellt sich auch die Frage des unterbliebenen Steuerausfalls für den Bund nicht.</w:t>
      </w:r>
    </w:p>
    <w:p>
      <w:r>
        <w:rPr>
          <w:b/>
        </w:rPr>
        <w:t>E. 4</w:t>
      </w:r>
    </w:p>
    <w:p>
      <w:r>
        <w:t>Zusammenfassend ist deshalb die Beschwerde in Bezug auf die Mehrwertsteuerforderung der D._______AG gegenüber für die Jahre 1996, 1997 und das erste Quartal 1998 gutzuheissen, der Einspracheentscheid vom 16. September 2004 aufzuheben und die Sache zur neuen Berechnung der Mehrwertsteuerforderung zurückzuweisen. Eine Rückweisung ist notwendig. Das Bundesverwaltungsgericht kann die Umsatzschätzung der ESTV für das gesamte Jahr 1998 von Fr. 255'000.-- nicht ohne Weiteres und unbesehen auf einen Viertel für das erste Quartal 1998 festlegen, da unter Umständen noch weitere Aspekte - wie zum Beispiel saisonale Schwankungen der Verkäufe - zu berücksichtigen sein werden. Im Übrigen wird die Beschwerde abgewiesen.</w:t>
      </w:r>
    </w:p>
    <w:p>
      <w:r>
        <w:rPr>
          <w:b/>
        </w:rPr>
        <w:t>E. 5</w:t>
      </w:r>
    </w:p>
    <w:p>
      <w:r>
        <w:t>Bei diesem Ausgang des Verfahrens rechtfertigt es sich, der Beschwerdeführerin gemäss Art. 4 des Reglements vom 11. Dezember 2006 über die Kosten und Entschädigungen vor dem Bundesverwaltungsgericht (VGKE, SR 173.320.2) die Verfahrenskosten von Fr. 4'500.-- teilweise, im Umfang von Fr. 3'500.--, aufzuerlegen; der Rest des Kostenvorschusses von Fr. 4'500.--, ausmachend Fr. 1'000.--, wird der Beschwerdeführerin nach Eintritt der Rechtskraft dieses Urteils erstattet. Die teilweise unterliegende ESTV trägt keine Verfahrenskosten (Art. 63 Abs. 2 VwVG). Es wird der Beschwerdeführerin gestützt auf Art. 7 Abs. 2 VGKE eine reduzierte Parteientschädigung von Fr. 1'000.-- (inklusive MWST und Auslagen) zu Lasten der ESTV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