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A-1381/2013 vom 27. März 2014</w:t>
      </w:r>
    </w:p>
    <w:p>
      <w:r>
        <w:t>Bundesverwaltungsgericht, 2014-03-27, DE</w:t>
      </w:r>
    </w:p>
    <w:p>
      <w:r>
        <w:rPr>
          <w:b/>
        </w:rPr>
        <w:t xml:space="preserve">Quelle: </w:t>
      </w:r>
      <w:r>
        <w:t>https://mcp.opencaselaw.ch/entscheid/bvger_A-1381_2013</w:t>
      </w:r>
    </w:p>
    <w:p>
      <w:r>
        <w:t>FR: TAF A-1381/2013 du 27 mars 2014</w:t>
      </w:r>
    </w:p>
    <w:p>
      <w:r>
        <w:t>IT: TAF A-1381/2013 del 27 marzo 2014</w:t>
      </w:r>
    </w:p>
    <w:p>
      <w:pPr>
        <w:pStyle w:val="Heading2"/>
      </w:pPr>
      <w:r>
        <w:t>Regeste</w:t>
      </w:r>
    </w:p>
    <w:p>
      <w:r>
        <w:t>Zölle</w:t>
      </w:r>
    </w:p>
    <w:p>
      <w:pPr>
        <w:pStyle w:val="Heading2"/>
      </w:pPr>
      <w:r>
        <w:t>Erwägungen</w:t>
      </w:r>
    </w:p>
    <w:p>
      <w:r>
        <w:rPr>
          <w:b/>
        </w:rPr>
        <w:t>E. 2.1</w:t>
      </w:r>
    </w:p>
    <w:p>
      <w:r>
        <w:t>Nach Art. 1 des Schwerverkehrsabgabegesetzes vom 19. Dezember 1997 (SVAG, SR 641.81)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w:t>
      </w:r>
    </w:p>
    <w:p>
      <w:r>
        <w:rPr>
          <w:b/>
        </w:rPr>
        <w:t>E. 2.2</w:t>
      </w:r>
    </w:p>
    <w:p>
      <w:r>
        <w:t>Unter dem Titel "Ausnahmen und Befreiung" regelt Art. 4 Abs. 3 SVAG, dass für Fahrten im unbegleiteten kombinierten Verkehr (UKV) Anspruch auf eine pauschale Rückerstattung besteht. Die Einzelheiten regelt der Bundesrat.</w:t>
      </w:r>
    </w:p>
    <w:p>
      <w:r>
        <w:rPr>
          <w:b/>
        </w:rPr>
        <w:t>E. 2.3.1</w:t>
      </w:r>
    </w:p>
    <w:p>
      <w:r>
        <w:t>Die Verordnung über eine leistungsabhängige Schwerverkehrsabgabe vom 6. März 2000 (SVAV, SR 641.811) enthält im 2. Kapitel nähere Ausführungsbestimmungen zu den Fahrten im UKV. Halterinnen und Halter von der Abgabe unterliegenden Fahrzeugen, mit denen Fahrten im UKV ausgeführt werden, erhalten für die Fahrten im Vor- und Nachlauf des UKV von der Zollverwaltung auf Antrag eine Rückerstattung (Art. 8 Abs. 1 SVAV). Pro Ladebehälter oder Sattel­anhänger, der von der Strasse auf die Bahn oder das Schiff oder von der Bahn oder dem Schiff auf die Strasse umgeschlagen wird, beträgt seit dem 1. Januar 2008 die Rückerstattung für Ladebehälter oder Sattelanhänger mit einer Länge zwischen 5.5 und 6.1 m oder zwischen 18 und 20 Fuss Fr. 24.- und für Ladebehälter oder Sattelanhänger mit einer Länge über 6.1 m oder über 20 Fuss Fr. 37.- (Art. 8 Abs. 2 Bst. a und b SVAV). Bis Ende 2007 lagen die entsprechende Rückerstattungssätze bei Fr. 23.- bzw. Fr. 35.- (vgl. Art. 8 Abs. 2 Bst. a und b SVAV in der Fassung von 2005, AS 2004 4525). Der Rückerstattungsantrag ist zusammen mit der Deklaration nach Art. 22 SVAV an die Zollverwaltung zu richten (Art. 8 Abs. 3 SVAV). Der Rückerstattungsbetrag darf die gesamte Abgabe der im UKV eingesetzten Fahrzeuge der Antragstellerin oder des Antragstellers pro Abgabeperiode nicht übersteigen (Art. 8 Abs. 4 SVAV).</w:t>
      </w:r>
    </w:p>
    <w:p>
      <w:r>
        <w:rPr>
          <w:b/>
        </w:rPr>
        <w:t>E. 2.3.2</w:t>
      </w:r>
    </w:p>
    <w:p>
      <w:r>
        <w:t>Fahrten im Vor- und Nachlauf des UKV sind solche, die von Strassenfahrzeugen mit Ladebehältern (auch: Container, Wechselaufbauten) oder mit Sattelanhängern zwischen dem Verlade- oder Entladeort und einem Umschlagsbahnhof oder Rheinhafen ausgeführt werden, ohne dass das Ladegut beim Übergang vom einen zum anderen Verkehrsträger das Transportgefäss wechselt (Art. 9 Abs. 1 SVAV). Die Ladebehälter müssen eine Mindestlänge von 5.5 m oder 18 Fuss und eine Mindestbreite von 2.1 oder 7 Fuss aufweisen (Art. 9 Abs. 2 SVAV).</w:t>
      </w:r>
    </w:p>
    <w:p>
      <w:r>
        <w:rPr>
          <w:b/>
        </w:rPr>
        <w:t>E. 2.4</w:t>
      </w:r>
    </w:p>
    <w:p>
      <w:r>
        <w:t>Wer ungerechtfertigt eine Vergünstigung oder Rückerstattung erwirkt oder in einem Rückerstattungsgesuch unrichtige Angaben macht, wird mit Busse bis zum Fünffachen der hinterzogenen oder gefährdeten Abgabe oder des unrechtmässigen Vorteils bestraft. Bei fahrlässiger Begehung beträgt die Busse bis zum Dreifachen der hinterzogenen oder gefährdeten Abgabe oder des unrechtmässigen Vorteils. Vorbehalten bleiben die Artikel 14-16 des Bundesgesetzes vom 22. März 1974 über das Verwaltungsstrafrecht (VStrR, SR 313.0). Die Mindestbusse beträgt 100 Franken (Art. 20 Abs. 1 SVAG). Widerhandlungen werden nach dem VStrR durch die Eidgenössische Zollverwaltung verfolgt und beurteilt (Art. 22 SVAG).</w:t>
      </w:r>
    </w:p>
    <w:p>
      <w:r>
        <w:rPr>
          <w:b/>
        </w:rPr>
        <w:t>E. 2.5.1</w:t>
      </w:r>
    </w:p>
    <w:p>
      <w:r>
        <w:t>Gemäss Art. 12 Abs. 1 VStrR ist die infolge einer Widerhandlung zu Unrecht nicht erhobene Abgabe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aber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vgl. auch Andreas Eicker/Friedrich Frank/Jo­nas Achermann, Verwaltungsstrafrecht und Verwaltungsstrafverfahrensrecht, Bern 2012, S. 91 f.).</w:t>
      </w:r>
    </w:p>
    <w:p>
      <w:r>
        <w:rPr>
          <w:b/>
        </w:rPr>
        <w:t>E. 2.5.2</w:t>
      </w:r>
    </w:p>
    <w:p>
      <w:r>
        <w:t>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die leistungspflichtige Person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A-5059/2011 und A 5063/2011 vom 4. Juni 2012 E. 2.6.1).</w:t>
      </w:r>
    </w:p>
    <w:p>
      <w:r>
        <w:rPr>
          <w:b/>
        </w:rPr>
        <w:t>E. 2.6</w:t>
      </w:r>
    </w:p>
    <w:p>
      <w:r>
        <w:t>Die Verjährung der Nach- und Rückleistungspflicht richtet sich nach Art. 12 Abs. 4 VStrR. Gemäss dieser Bestimmung verjähren Leistungs- und Rückleistungspflichten nicht, solange die Strafverfolgung und -voll­streckung nicht verjährt sind (vgl. BGE 106 Ib 218 E. 2d; vgl. zum Ganzen Urteile des Bundesverwaltungsgerichts A 566/2012 vom 24. Januar 2013 E. 3.7, A 6977/2009 vom 29. November 2010 E. 4.3).</w:t>
      </w:r>
    </w:p>
    <w:p>
      <w:r>
        <w:rPr>
          <w:b/>
        </w:rPr>
        <w:t>E. 2.6.1</w:t>
      </w:r>
    </w:p>
    <w:p>
      <w:r>
        <w:t>Nach Art. 2 VStrR gelten die allgemeinen Bestimmungen des Strafgesetzbuches für Taten, die in der Verwaltungsgesetzgebung des Bundes mit Strafe bedroht sind, soweit das VStrR oder das einzelne Verwaltungsgesetz nichts anderes bestimmt. Dies gilt namentlich für den Beginn der Verjährung bei Nachforderungen gemäss Art. 12 VStrR (statt vieler: Urteile des Bundesverwaltungsgerichts A 566/2012 vom 24. Januar 2013 E. 3.7.1, A 6977/2009 vom 29. November 2010 E. 4.3). Der Allgemeine Teil des Schweizerischen Strafgesetzbuches vom 21. Dezember 1937 (StGB, SR 311.0) wurde am 13. Dezember 2002 revidiert (in Kraft seit 1. Januar 2007). Dabei wurden die am 1. Oktober 2002 in Kraft getretenen Neuerungen im Verjährungsrecht gemäss Art. 70 ff. des aStGB (AS 2002 2993 und AS 2002 3146; vgl. zu diesen Neuerungen auch E. 3.7.2) bereits wieder ersetzt. Die beiden Gesetzesfassungen unterscheiden sich jedoch hinsichtlich des Beginns der Ver­jährungsfrist nicht, ist doch dafür sowohl nach Art. 71 Bst. a aStGB als auch nach Art. 98 Bst. a StGB auf den Zeitpunkt der deliktischen Handlung abzustellen.</w:t>
      </w:r>
    </w:p>
    <w:p>
      <w:r>
        <w:rPr>
          <w:b/>
        </w:rPr>
        <w:t>E. 2.6.2</w:t>
      </w:r>
    </w:p>
    <w:p>
      <w:r>
        <w:t>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 entgegen dem Gesetzestext von Art. 11 Abs. 1 VStrR - vier Jahre (Art. 333 Abs. 5 Bst. b aStGB und Art. 333 Abs. 6 Bst. b StGB). Für qualifizierte Übertretungen nach Art. 11 Abs. 2 VStrR gilt gemäss der bundesgerichtlichen Rechtsprechung - und entgegen dem Wortlaut des Gesetzes - eine Verfolgungsverjährungsfrist von sieben Jahren entsprechend dem nach Art. 70 Abs. 1 Bst. c aStGB bzw. Art. 97 Abs. 1 Bst. c StGB für Vergehen geltenden Mass. Eine Unterbrechung dieser Frist - wie in Art. 11 Abs. 2 VStrR vorgesehen - ist aufgrund von Art. 333 Abs. 5 Bst. c aStGB und Art. 333 Abs. 6 Bst. c StGB nicht möglich (eingehend: BGE 134 IV 328 E. 2.1, vgl. auch BGE 139 IV 62 E. 1.3.2; BVGE 2009/59 E. 4.3 ff., ausführlich auch: Urteile des Bundesverwaltungsgerichts A 566/2012 vom 24. Januar 2013 E. 3.7.2, A 6977/2009 vom 29. November 2010 E. 4.3, A 2293/2008 vom 28. Mai 2010 E. 2.4; zum Ganzen Eicker/Frank/Acher­mann, a.a.O., S. 83 f.; Michael Beusch/Jasmin Malla, in: Zweifel/Beusch/Bau­er-Balmelli [Hrsg.], Kommentar zum Bundesgesetz über die Verrech­nungs­steuer, 2. Aufl., Basel 2012, N 54a zu Vorbemerkungen zu Art. 61 bis 67).</w:t>
      </w:r>
    </w:p>
    <w:p>
      <w:r>
        <w:rPr>
          <w:b/>
        </w:rPr>
        <w:t>E. 2.7</w:t>
      </w:r>
    </w:p>
    <w:p>
      <w:r>
        <w:t>Die Konkretisierung einer Norm im Hinblick auf einzelne Lebenssachverhalte geschieht durch Auslegung. Das Ziel der Gesetzesauslegung besteht darin, den Sinngehalt einer Bestimmung zu ermitteln. Ausgangspunkt jeder Auslegung bildet der Wortlaut der Bestimmung (sog. grammatikalische Auslegung). Ist der Text nicht ganz klar und sind verschiedene Interpretationen möglich, so muss nach der wahren Tragweite der Bestimmung gesucht werden unter Hinzuziehung aller Auslegungselemente (sog. "Methodenpluralismus"; vgl. BGE 136 II 149 E. 3, Urteil des Bundesgerichts 1C_156/2011 vom 15. Juli 2011 E. 3.5.1; statt vieler: Urteil des Bundesverwaltungsgerichts A-1265/2011 vom 3. Juli 2012 E. 2.6; Häfelin/Müller/Uhlmann, a.a.O., Rz. 217). Zu berücksichtigen sind namentlich die Entstehungsgeschichte der Norm (sog. historische Auslegung), der Zusammenhang, in dem sie mit anderen Gesetzesbestimmungen steht (sog. systematische Auslegung) sowie ihr Sinn und Zweck (sog. teleologische Auslegung).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128 I 288 E. 2.4; BVGE 2007/24 E. 2.3).</w:t>
      </w:r>
    </w:p>
    <w:p>
      <w:r>
        <w:rPr>
          <w:b/>
        </w:rPr>
        <w:t>E. 2.8</w:t>
      </w:r>
    </w:p>
    <w:p>
      <w:r>
        <w:t>Der in Art. 9 BV verankerte Schutz von Treu und Glauben bedeutet, dass der Bürger bzw. die Bürgerin Anspruch darauf hat, in seinem bzw. ihrem berechtigten Vertrauen in behördliche Zusicherungen oder in anderes, bestimmte Erwartungen begründendes Verhalten der Behörden geschützt zu werden. Zunächst einmal bedarf der Vertrauensschutz jedoch einer gewissen Grundlage. Die Behörde muss durch ihr Verhalten beim Bürger bzw. bei der Bürgerin eine bestimmte Erwartung ausgelöst haben. Dies geschieht sehr oft durch Auskünfte oder Zusicherungen, welche auf Anfragen von Bürgern erteilt werden, kann aber auch durch sonstige Korrespondenz entstehen. Gemäss Rechtsprechung und Lehre müssen - nebst der Vertrauensgrundlage - verschiedene weitere Voraussetzungen erfüllt sein, damit behördliches Verhalten den Schutz des Grundsatzes von Treu und Glauben geniesst (zu den Voraussetzungen siehe BGE 129 I 161 E. 4.1, 126 II 377 E. 3 mit weiteren Hinweisen; eingehend: Urteile des Bundesverwaltungsgerichts A 364/2013 vom 25. Oktober 2013 E. 4.2, A-1500/2006 vom 1. Oktober 2008 E. 3; statt vieler: Häfelin/Müller/Uhlmann, a.a.O., Rz. 622 ff.; Pierre Moor, Droit administratif, Band I, 2. Aufl., Bern 1994, S. 428 ff.).</w:t>
      </w:r>
    </w:p>
    <w:p>
      <w:r>
        <w:rPr>
          <w:b/>
        </w:rPr>
        <w:t>E. 3.1</w:t>
      </w:r>
    </w:p>
    <w:p>
      <w:r>
        <w:t>Im vorliegenden Fall ist vorab strittig, ob die im UKV eingesetzten Container (nachfolgend auch: Transportbehälter, Wechselbehälter, Ladebehälter) des Typs ... und des Typs ... die gemäss Verordnung für die Rückerstattung erforderliche (Mindest-)Länge von 5.5 m (vgl. E. 2.3.1 und E. 2.3.2) aufweisen. Gemäss dem unbestrittenen Messbericht der RUAG (act. A/11/2, pag. 000170) verfügen die Container beider Typen jeweils "front-" wie "heckseitig" über einen Bügel (im Folgenden auch: Aufnahmebügel oder Hakenbügel). Diese (strittigen) Bügel sind "beweglich und einfach demontierbar" (vgl. Messbericht, a.a.O., Ziffer 3.2.1). Es wurden jeweils zwei Container desselben Typs untersucht. Die Container wiesen erhebliche Gebrauchspuren auf, welche das Längenmass beeinflussten (vgl. Messbericht, a.a.O., Ziffer 2.3). Der Container Typ ... ist mit den beweglichen und demontierbaren Bügeln 5599 mm bzw. 5620 mm und ohne die Bügel 5351 mm bzw. 5390 mm lang. Der Container Typ ... verfügt mit den beweglichen und demontierbaren Bügeln über eine Länge von 5640 mm bzw. 5518 mm und ohne Bügel über eine solche von 5254 mm bzw. 5251 mm (vgl. Messbericht, a.a.O., Ziffer 4). Aus diesem Bericht erhellt, dass die jeweiligen Container nur mit den Bügeln die rückerstattungsberechtigte Länge gemäss SVAV aufweisen. Es liegt denn auch primär im Streit, ob die Bügel bei der Längenmessung nach SVAV zu berücksichtigten sind.</w:t>
      </w:r>
    </w:p>
    <w:p>
      <w:r>
        <w:rPr>
          <w:b/>
        </w:rPr>
        <w:t>E. 3.2</w:t>
      </w:r>
    </w:p>
    <w:p>
      <w:r>
        <w:t>Die Beschwerdeführerin bringt im Wesentlichen vor, die Bügel seien zu berücksichtigen. Das Gesetz bzw. die Verordnung enthielten keine Angaben dazu, wie die Container zu vermessen seien. Eine Regelung sei zu Unrecht unterlassen worden. Damit werde gegen das Legalitätsprinzip sowie gegen Treu und Glauben verstossen. Die von der Verwaltung angewandte Längenbemessung widerspreche jedenfalls dem Gesetz, der Verordnung und den internationalen Normen. Die Bügel seien "Systembestandteil". Sie seien für den Wechsel von der Strasse auf die Schienen zwingend erforderlich. Nur "mittels des aufgeklappten Hakenbügels" könnten die Container vom Bahnwagen auf einen Lastwagen verschoben werden (und umgekehrt). Die Beschwerdeführerin beantragt diesbezüglich die Einholung einer Expertise (Beschwerde, S. 5). Seit Erlass der SVAV seien Container mit unterschiedlichen Längen auf den Markt gekommen. Der Verordnungsgeber habe es aber unterlassen, die Verordnung anzupassen. Die simple Schematisierung (5.5 m bzw. 6.1 m und über 6.1 m) sei nicht mehr zeitgemäss. Ausserdem seien die Bügel auch gemäss den einschlägigen Bestimmungen der Verordnung vom 19. Juni 1995 über die technischen Anforderungen an Strassenfahrzeuge (VTS, SR 741.41) bei der Längenbemessung zu berücksichtigen.</w:t>
      </w:r>
    </w:p>
    <w:p>
      <w:r>
        <w:rPr>
          <w:b/>
        </w:rPr>
        <w:t>E. 3.3</w:t>
      </w:r>
    </w:p>
    <w:p>
      <w:r>
        <w:t>Die Vorinstanz stellt sich auf den Standpunkt, die Bügel seien bei der Längenbemessung nicht zu berücksichtigen. Sie wendet hauptsächlich ein, sie habe beim Erlass der SVAV keine Messmethode definieren müssen. Die Verordnung verweise auf internationale Standards des Schiffs- und Schienenverkehrs (sog. "Hauptläufe" des UKV). Die Längenbemessung ergebe sich aus den internationalen Standards gemäss der ISO-Norm 668:1995 (ISO-Container der Reihe 1; act. 1 zur Eingabe vom 13. Dezember 2013), der Europäischen Norm EN 284 des Europäischen Komitees für Normung (Wechselbehälter - Nicht stapelbare Wechselbehälter der Klasse C, Masse und allgemeine Anforderungen; act. 2 zur Eingabe vom 13. Dezember 2013) sowie aus dem UIC-Kodex 591 des Internationalen Eisenbahnverbandes (Transportbehälter für den horizontalen Umschlag, Technische Bedingungen für den Einsatz im internationalen Eisenbahnverkehr, act. A/20/pag. 000295). Die Bügel seien für den Wechsel von der Strasse auf die Bahn nicht notwendig und deren Verwendung auf dem Gelände Winterthur sogar verboten. Die Umladung erfolge dort mithilfe eines Ketten- bzw. Hakengeräts. Beim Transport auf der Bahn müssten die Bügel aus Sicherheitsgründen eingeklappt werden. Die VTS sei überdies für die Rückerstattung der LSVA nicht massgebend.</w:t>
      </w:r>
    </w:p>
    <w:p>
      <w:r>
        <w:rPr>
          <w:b/>
        </w:rPr>
        <w:t>E. 3.4</w:t>
      </w:r>
    </w:p>
    <w:p>
      <w:r>
        <w:t>Die Verordnung bezeichnet in Art. 8 Abs. 2 SVAV die rückerstattungsberechtigten Längen, ohne - wie die Beschwerdeführerin zu Recht vorbringt - eine "Messmethode" zu definieren (vgl. E. 2.3.1). Vorschriften, wie die Länge der Wechselbehälter für die Zwecke der LSVA zu bemessen sind, ergeben sich weder aus der SVAV noch aus einem anderen Erlass. (Der Vollständigkeit halber sei an dieser Stelle erwähnt, dass auf die Längenbemessung der in Art. 8 Abs. 3 SVAV ebenfalls genannten Sattelanhänger [vgl. E. 2.3.1] im vorliegenden Fall nicht näher einzugehen ist.) Entgegen der Behauptung der Beschwerdeführerin regelt diese Frage auch die VTS nicht. Die VTS befasst sich mit den technischen Anforderungen an Fahrzeuge, die der Strassenverkehrsgesetzgebung unterstehen (vgl. Art. 1 VTS). Fahrzeuge im Sinne dieser Verordnung sind alle in der VTS definierten Motorfahrzeuge oder motorlosen Fahrzeuge (Art. 9 Abs. 1 VTS). "Container" sind keine Fahrzeuge im Sinne der VTS. Container sind Wechselaufbauten und gelten als Fahrzeugteile (Art. 66 Abs. 1 VTS). Für die Längenbemessung von Fahrzeugen mit Wechselaufbauten sind die Vorrichtungen für die Aufnahme der Aufbauten sowie den Aufbau selber zwar einzubeziehen (Art. 38 Abs. 4 VTS). In der VTS geht es aber, wie bereits erwähnt, um die Festlegung der Anforderungen an Strassenfahrzeuge und nicht um diejenigen an Wechselaufbauten bzw. Containern. Die Verwaltung musste keine Methode zur Längenabmessung definieren: Wird auf eine spezifische Regelung (in der Verordnung) verzichtet, gelangen die in der einschlägigen Branche üblichen "Messmethoden" zur Anwendung bzw. ist darauf abzustellen, wie die Längenabmessung in diesem Bereich nach den anerkannten Regeln der Wissenschaft und Technik stattfindet (vgl. mit Bezug auf [nicht definierte] Fachbegriffe im Zolltarif: Urteil des Bundesverwaltungsgerichts A 829/2011 vom 30. De­zem­ber 2011 E. 3.2). Die Vorinstanz weist in diesem Sinne darauf hin, dass "mit der Festsetzung der Mindestlängen, insbesondere der Bezeichnung der englischen Längenmasse" diejenigen Längenmasse "übernommen" worden seien, die gemäss den internationalen Standards zum Bau der Con­tainer bzw. Transportbehälter im Eisenhahn- und Schiffsverkehr gelten würden. Damit werde die "Einheitlichkeit der Aussenmasse im internationalen Verkehr" gewährleistet, was die "Berechnung der Verlademöglichkeit" garantiere; so werde ausserdem für Sicherheit gesorgt. Sollen diese Ziele erreicht werden, macht es in der Tat keinen Sinn, wenn die Verwaltung zusätzliche bzw. eigene, eventuell sogar von den internationalen Standards abweichende, Vorschriften erlassen würde. Die ISO (Internationale Organisation für Normung) ist die weltweite Vereinigung nationaler Normungsinstitute (Mitgliedskörperschaften). Die innerhalb dieses Gremiums erarbeiteten Normen, an deren Ausarbeitung sich die Mitgliedskörperschaften sowie staatliche und nichtstaatliche Organisationen beteiligen können, müssen von den nationalen Mitgliedskörperschaften genehmigt werden (vgl. ISO-Norm 668:1995, a.a.O., Vorwort). Das Schweizerische Institut für Normung (SNV) ist Mitglied der ISO (vgl. www.snv.ch &gt; über die SNV, zuletzt besucht am 7. Februar 2014). Der Internationale Eisenbahnverband fördert den weltweiten Schienenverkehr und stellt sich den Herausforderungen der Mobilität und der nachhaltigen Entwicklung. Er fördert die Interoperabilität und die Schaffung neuer weltweiter Standards für die Bahnen (inkl. gemeinsamer Standards mit anderen Verkehrsträgern; vgl. www.uic.org &gt; über uns &gt; Vorwort, zuletzt besucht am 7. Februar 2014). Zu diesem Zweck erlässt er Eisenbahntechnische Publikationen (&gt; Produkte und Services). Zu deren aktiven Mitgliedern gehören seit 1922 die Schweizerischen Bundesbahn sowie die BLS AG (vgl. &gt; über uns &gt; Organisation &gt; Mitglieder). Der internationale Eisenbahnverband hat für Transportbehälter für den Bahntransport die technischen Bedingungen festgelegt. Die Orientierung des Schweizerischen Verordnungsgebers an internationalen Normen privater Organisationen ist denn auch nichts Aussergewöhnliches. Die VTS beispielsweise verweist in Art. 163 Abs. 5 Bst. a explizit auf eine ISO-Norm. Art. 4 Abs. 2 Satz 1 der Verordnung über die elektromagnetische Verträglichkeit (SR 734.5) verweist - indem sie auf die anerkannten Regeln der Technik Bezug nimmt - indirekt ebenfalls auf (internationale) Standards.</w:t>
      </w:r>
    </w:p>
    <w:p>
      <w:r>
        <w:rPr>
          <w:b/>
        </w:rPr>
        <w:t>E. 3.4.1</w:t>
      </w:r>
    </w:p>
    <w:p>
      <w:r>
        <w:t>Für die Konstruktion von Transportbehältern für den Güterverkehr bestehen verschiedene internationale Vorschriften privatrechtlicher Organisationen (vgl. E. 3.3). Aus den genannten Vorschriften geht hervor, wie die Länge eines Transportbehälters zu bestimmen ist.</w:t>
      </w:r>
    </w:p>
    <w:p>
      <w:r>
        <w:rPr>
          <w:b/>
        </w:rPr>
        <w:t>E. 3.4.1.1</w:t>
      </w:r>
    </w:p>
    <w:p>
      <w:r>
        <w:t>Gemäss der ISO-Norm 668:1995 (vgl. a.a.O., S. 6; mittlerweile abgelöst durch die ISO-Norm 668:2013) wird die Aussenlänge eines Containers "an den jeweiligen Kanten" gemessen. Dies bedeutet, dass für die Längenbemessung die Bügel nicht massgebend sind. Die europäische Norm EN 284 (vgl. a.a.O., Ziffer 3, S 4 f.), welche gemäss SNV den Status einer Schweizer Norm hat (vgl. act. 2 zur Eingabe vom 13. Dezember 2013), legt für spezifizierte Wechselbehälter die maximale Länge fest. Der entsprechenden Skizze ist nicht zu entnehmen, dass die Bügel für die Längenbemessung zu berücksichtigen wären.</w:t>
      </w:r>
    </w:p>
    <w:p>
      <w:r>
        <w:rPr>
          <w:b/>
        </w:rPr>
        <w:t>E. 3.4.1.2</w:t>
      </w:r>
    </w:p>
    <w:p>
      <w:r>
        <w:t>Der Internationale Eisenbahnverband hat für Transportbehälter für den Bahntransport die technischen Bedingungen festgelegt. Der UIC-Kodex 591 regelt in Ziffer 2 die einzuhaltenden umschlagsspezifischen Bedingungen von Transportbehältern, die im internationalen Eisenbahnverkehr eingesetzt werden (für die verschiedene Abrollsysteme ACTS, SNCF und RSS). Der Kodex legt die Maximallänge der Transportbehälter auf 5950 mm fest (vgl. a.a.O., Ziffer 2.1.1, 2.1.2, 2.1.3, S. 11 f.). Aus der Skizze im Anhang ergibt sich, dass sich diese Maximallänge jeweils ohne Bügel bemisst (vgl. a.a.O., Anlage 6, S. 35; mit ausgeklapptem Hakenbügel kann der Container über eine Länge von 6160 mm verfügen). Der UIC-Kodex 592-3 beinhaltet ein "Vereinheitlichtes Prüfprotokoll" für die Abnahmeprüfung von Grosscontainern, Wechselbehältern und Transportbehältern für den Horizontalumschlag (act. A/20/pag. 000328). Aus der dortigen Skizze betreffend die "theoretische Abmessung (nach Zeichnungsunterlagen)" ergibt sich, dass die Gesamtlänge ohne den strittigen Bügel bemessen wird (vgl. a.a.O., S. 43).</w:t>
      </w:r>
    </w:p>
    <w:p>
      <w:r>
        <w:rPr>
          <w:b/>
        </w:rPr>
        <w:t>E. 3.4.1.3</w:t>
      </w:r>
    </w:p>
    <w:p>
      <w:r>
        <w:t>Hinsichtlich des Containers ... liegt ausserdem die Betriebsbewilligung vom 22. Januar 2003 des Bundesamtes für Verkehr (BAV) vor (act. F/5/pag. 001996). Gemäss Ziffer 4 (Technische Daten) verfügt der Wechselbehälter über eine Länge von 5250 mm und wurde folglich - in Entsprechung mit den internationalen Normen - ohne Bügel abgemessen, wie ein Vergleich mit den Messresultaten der RUAG Schweiz AG ergibt (vgl. E. 3.1).</w:t>
      </w:r>
    </w:p>
    <w:p>
      <w:r>
        <w:rPr>
          <w:b/>
        </w:rPr>
        <w:t>E. 3.4.2</w:t>
      </w:r>
    </w:p>
    <w:p>
      <w:r>
        <w:t>Aus den einschlägigen Normen ergibt sich eindeutig, dass für die Längenbemessung die hier strittigen Aussenbügel nicht zu berücksichtigen sind. Auf die von der Beschwerdeführerin beantragte Befragung von F._______ als Sachverständiger der SBB, zur Frage, ob für die Längenbemessung der Container auf "die Länge des für den Bahntransport nötigen Drehrahmens" abzustellen sei (vgl. Replik, S. 7), kann aufgrund des klaren Ergebnisses in antizipierter Beweiswürdigung (vgl. E. 1.3) verzichtet werden.</w:t>
      </w:r>
    </w:p>
    <w:p>
      <w:r>
        <w:rPr>
          <w:b/>
        </w:rPr>
        <w:t>E. 3.4.3</w:t>
      </w:r>
    </w:p>
    <w:p>
      <w:r>
        <w:t>Daran nichts zu ändern vermögen auch die Vorbringen der Beschwerdeführerin, wonach die Bügel für den Wechsel "Strasse-Scheine" zwingend notwendig seien, weshalb sie bei der Längenbemessung zu berücksichtigen seien. Entgegen der Behauptung der Beschwerdeführerin sind die Bügel für den Wechsel von der Strasse auf die Schiene nicht notwendig. Gemäss den Ausführungen der Vorinstanz ist aus Sicherheitsgründen der Einsatz von Hakengeräten (und damit die Verwendung des "aufgeklappten Hakenbügels") auf dem Gelände der Kehrichtverbrennungsanlage verboten. Aus diesem Grund werden Fahrzeuge mit Kettengeräten verwendet, welche die Container mit Hilfe eines Kettensystems umladen. Die der Duplik beigelegten Fotoaufnahmen bestätigen dies. Sie zeigen, dass die Aufnahmebügel während des Umladens eingeklappt sind und nicht benutzt werden. Fahrzeuge mit Kettengeräten sind - nach unbestrittenen Angaben der Vorinstanz - auch nicht in der Lage, die Aufnahmebügel zu benutzen, da den Kettengeräten der dazu notwendige Haken fehle. Die Darstellung der Vorinstanz ist überzeugend, weshalb auch diesbezüglich in antizipierter Beweiswürdigung (E. 1.3) auf die von der Beschwerdeführerin beantragten Einholung einer Expertise verzichtet wird.</w:t>
      </w:r>
    </w:p>
    <w:p>
      <w:r>
        <w:rPr>
          <w:b/>
        </w:rPr>
        <w:t>E. 3.4.4</w:t>
      </w:r>
    </w:p>
    <w:p>
      <w:r>
        <w:t>Zusammenfassend ist festzuhalten, dass die Vorinstanz nicht gegen das Legalitätsprinzip verstösst, wenn sie für die Bestimmung der Länge der Wechselbehälter für den UKV keine eigene "Messmethode" festlegt, sondern darauf abstellt, wie im internationalen Güterverkehr die Längen abgemessen werden. Gemäss diesen Normen sind für die Bestimmung der Aussenlänge die Kanten massgebend und allfällige Bügel werden nicht berücksichtigt. Folglich weisen die von der Beschwerdeführerin eingesetzten Container die für Rückerstattung erforderliche Länge gemäss Art. 8 Abs. 2 SVAV bzw. Art. 9 Abs. 2 SVAV nicht auf.</w:t>
      </w:r>
    </w:p>
    <w:p>
      <w:r>
        <w:rPr>
          <w:b/>
        </w:rPr>
        <w:t>E. 3.5.1</w:t>
      </w:r>
    </w:p>
    <w:p>
      <w:r>
        <w:t>Die Beschwerdeführerin macht im Zusammenhang mit der unzureichenden Länge der Container gemäss SVAV geltend, sie habe sich aufgrund des Briefwechsels des A._______ mit der OZD in gutem Glauben darauf verlassen dürfen, dass die Container die für die Rückerstattung erforderliche Minimallänge aufweisen würden. Über 10 Jahre habe die Vorinstanz ohne den geringsten Vorbehalt die LSVA zurückerstattet und habe somit den A._______ und die Beschwerdeführerin im Vertrauen belassen, dass die fraglichen Container die im Sinne der SVAV erforderliche Länge aufwiesen. Indem die Vorinstanz nun eine Nachforderung stelle, werde sie in ihrem berechtigten Vertrauen verletzt.</w:t>
      </w:r>
    </w:p>
    <w:p>
      <w:r>
        <w:rPr>
          <w:b/>
        </w:rPr>
        <w:t>E. 3.5.2</w:t>
      </w:r>
    </w:p>
    <w:p>
      <w:r>
        <w:t>Die erfolgreiche Berufung auf den Vertrauensschutz setzt die Schaffung einer Vertrauensgrundlage voraus (vgl. E. 2.8): Mit Brief vom 2. Oktober 2001 teilte der A._______ der OZD mit, dass er per 1. Januar 2002 ein "neues System" mit "neusten Containern starte". Die Container würden mit einer Länge von 5 m die "gemäss heute gültiger Verordnung" für den UKV erforderliche rückerstattungsberechtigte Länge nicht (mehr) aufweisen, weshalb eine "Rückerstattung der LSVA nicht möglich" sei. Er stellte deshalb (u.a.) den Antrag, die SVAV entsprechend zu revidieren und die Mindestlänge neu auf 5 m festzulegen. Bis zur Anpassung der Verordnung sei der A._______ bzw. seine Transporteure zu berechtigen, "für die Container der neuen Norm mit 5 m Länge die Rückerstattung geltend zu machen". Die OZD antwortete dem A._______ am 8. Oktober 2001, dass "die Rückerstattung für Behälter von 5 m Länge (...) gestützt auf die heutigen Bestimmungen nicht möglich" sei. Eine Revision der SVAV sei zurzeit "weder notwendig noch vorgesehen". Die vom A._______ gemachten Vorschläge würden geprüft, sobald eine Revision zur Sprache komme.</w:t>
      </w:r>
    </w:p>
    <w:p>
      <w:r>
        <w:rPr>
          <w:b/>
        </w:rPr>
        <w:t>E. 3.5.3.1</w:t>
      </w:r>
    </w:p>
    <w:p>
      <w:r>
        <w:t>Sofern die Beschwerdeführerin sich überhaupt auf ein nicht an sie selbst gerichtetes Schreiben stützen könnte (gemäss der Rechtsprechung muss sich das Verhalten der Behörde grundsätzlich auf eine konkrete, den betreffenden Bürger berührende Angelegenheit beziehen, vgl. BGE 125 II 267 E. 4c), könnte sie aus der (knappen) Antwort der Verwaltung ohnehin nichts zu ihren Gunsten ableiten. Daraus geht klar hervor, dass für einen Container unter der in der SVAV festgehaltenen Mindestlänge kein Anspruch auf Rückerstattung der LSVA geltend gemacht werden kann. Eine Zusicherung, dass für die Beschwerdeführerin als Transporteurin des A._______ - dem die Konsequenz zu kurzer Transportbehälter für die Rückerstattung der LSVA klar war - bis zu der vom A._______ geforderten Revision eine Ausnahmeregelung gelten soll, wurde nicht gemacht. Damit wurde klarerweise keine Vertrauensgrundlage geschaffen, auf die sich die Beschwerdeführerin berufen könnte. Nur am Rande sei erwähnt, dass der A._______ zu diesem Zeitpunkt ebenfalls davon ausging, dass die Container ohne Bügel abgemessen werden. Wäre er davon überzeugt gewesen, dass die Container mit Bügel zu messen seien, hätte es dieser Anfrage gar nicht bedurft.</w:t>
      </w:r>
    </w:p>
    <w:p>
      <w:r>
        <w:rPr>
          <w:b/>
        </w:rPr>
        <w:t>E. 3.5.3.2</w:t>
      </w:r>
    </w:p>
    <w:p>
      <w:r>
        <w:t>In der Folge machte die Beschwerdeführerin als Transporteurin des A._______ dennoch für diese (kürzeren) Container während über 10 Jahren die Rückerstattung geltend. Aber auch damit wurde - trotz der gegenüber der Behörde mitgeteilten Beschaffung von neuen und kürzeren Container - keine Vertrauensgrundlage geschaffen: Bei der Erhebung der LSVA gilt das Selbstdeklarationsprinzip (vgl. Art. 11 Abs. 1 SVAG, Art. 22 f. SVAV; vgl. Urteile des Bundesverwaltungsgerichts A-3546/2011 vom 19. August 2011 E. 3.4.1 mit weiteren Hinweisen, A 1662/2011 vom 23. Juni 2011 E. 2.1.2, A 1642/2011 vom 16. Juni 2011 E. 2.1.2). Das bedeutet, dass die abgabepflichtige Person selber für die ordnungsgemässe - d.h. vollständige und richtige - Deklaration verantwortlich ist (vgl. zum Selbstdeklarationsprinzip statt vieler: A 3410/2012 vom 21. Januar 2013 E. 2.2.2 [für den Bereich der VOC]). Selbst wenn die Verwaltung eine Kontrolle bei den Transporteuren bzw. bei der Beschwerdeführerin vorgenommen hätte - wären diese Trans­porteure der Verwaltung denn überhaupt namentlich bekannt gewesen -, hätte sie aufgrund der auf den Containern aufgedruckten Längenangaben keinen Anlass gehabt, an der Richtigkeit der Deklaration zu zweifeln. Die Container waren mit einer rückerstattungsberechtigten Länge beschriftet. Teilweise war die jeweils korrekte Längenangabe auf den Containern mit Etiketten, die falsche Angaben enthielten (nämlich über 5.5 m), überklebt worden, teilweise waren die Container von Anfang an mit falschen Längenangaben versehen. Diese Falschangaben waren nicht ohne Weiteres ersichtlich und traten erst im Laufe eingehender Untersuchungen zu Tage (vgl. act. B/2, Bilddokumentation "Nachkontrolle UKV", pag. 000385 ff.). Im Übrigen ist zu diesem Thema auf die zutreffenden Ausführungen der Vorinstanz zu verweisen.</w:t>
      </w:r>
    </w:p>
    <w:p>
      <w:r>
        <w:rPr>
          <w:b/>
        </w:rPr>
        <w:t>E. 4.1</w:t>
      </w:r>
    </w:p>
    <w:p>
      <w:r>
        <w:t>Die Beschwerdeführerin bringt schliesslich in grundsätzlicher Hinsicht vor, es sei nicht ersichtlich, weshalb die Verordnung überhaupt eine Mindestlänge vorschreibe. Für die Festlegung der Mindestlänge von 18 Fuss bestünden keine sachlichen Gründe. Damit bringt die Beschwerdeführerin sinngemäss vor, die Regelung sei willkürlich.</w:t>
      </w:r>
    </w:p>
    <w:p>
      <w:r>
        <w:rPr>
          <w:b/>
        </w:rPr>
        <w:t>E. 4.2</w:t>
      </w:r>
    </w:p>
    <w:p>
      <w:r>
        <w:t>Die kritisierte Bestimmung findet sich in Art. 8 Abs. 2 SVAV und somit auf Verordnungsebene. Sie stützt sich auf Art. 4 Abs. 3 SVAG (vgl. E. 2.2), der "für Fahrten im unbegleiteten kombinierten Verkehr" einen "Anspruch auf Rückerstattung" einräumt. Die Kompetenz zur Regelung der Einzelheiten wird dem Bundesrat übertragen. Bei Art. 8 Abs. 2 SVAV handelt es sich somit um eine unselbständige Verordnung (vgl. E. 1.2.3). Das Bundesverwaltungsgericht kann vorfrageweise Verordnungen des Bundesrates auf ihre Gesetzes- und Verfassungskonformität prüfen (vgl. E. 1.2.3). Art. 4 Abs. 3 SVAG räumt dem Bundesrat einen sehr weiten Bereich des Ermessens für die Regelung auf Verordnungsstufe ein. Dieser Spielraum ist nach Art. 190 BV für das Bundesverwaltungsgericht verbindlich. Es darf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(vgl. E. 1.2.3). So kann es prüfen, ob für die beanstandete Längenbeschränkung ernsthafte Gründe vorliegen.</w:t>
      </w:r>
    </w:p>
    <w:p>
      <w:r>
        <w:rPr>
          <w:b/>
        </w:rPr>
        <w:t>E. 4.3.1</w:t>
      </w:r>
    </w:p>
    <w:p>
      <w:r>
        <w:t>Die Vorinstanz führt aus, mit der Festsetzung der rückerstattungsberechtigten Länge auf 18 bzw. 20 Fuss habe sie die "durchschnittliche Grösse der zum Transport notwendigen Fahrzeuge berücksichtigt und der Tatsache Rechnung getragen, dass zwei 20 Fuss-Container auch auf der Ladebrücke eines einzigen grossen Fahrzeuges Platz haben" (vgl. auch Kommentar EFD zum Entwurf der SVAV vom 10. Mai 1999, act. 3 zur Eingabe vom 13. Dezember 2013, S. 9). An anderer Stelle führt sie aus, mit der "Festsetzung der Mindestlänge, insbesondere der Bezeichnung der englischen Längenmasse von 18 und 20 Fuss," seien die "internationalen Standardmasse" übernommen worden, bzw. es sei "auf standardisierte Grössen im internationalen Verkehr" abgestellt worden.</w:t>
      </w:r>
    </w:p>
    <w:p>
      <w:r>
        <w:rPr>
          <w:b/>
        </w:rPr>
        <w:t>E. 4.3.2.1</w:t>
      </w:r>
    </w:p>
    <w:p>
      <w:r>
        <w:t>Zu den Argumenten der Vorinstanz ist zunächst einmal festzuhalten, dass aus diesen Ausführungen nicht klar wird, was die Verwaltung in diesem Zusammenhang mit "durchschnittlicher Grösse" bzw. "standardisierter Grösse" meint, worauf sie diese bezieht (Fahrzeug oder Container?) und auf welcher Basis sie den Durchschnitt festgelegt hat. Möglicherweise meint damit die Verwaltung die durchschnittliche Länge der üblicherweise verwendeten Container. Das Bundesverwaltungsgericht verkennt dabei durchaus nicht, dass im (internationalen) Warenverkehr Abmessungen für die Interoperabilität und auch für die Sicherheit von Bedeutung sein können (vgl. Art. 33 Abs. 2 und Art. 36 des [auf den vorliegenden Binnensachverhalt im Übrigen aufgrund von Art. 2 Abs. 2 nicht anwendbaren] Abkommens vom 21. Juni 1999 zwischen der Schweizerischen Eidgenossenschaft und der Europäischen Gemeinschaft über den Güter- und Personenverkehr auf Schiene und Strasse [SR 0.740.72; nachfolgend: Landverkehrsabkommen]), ebenso wenig, dass der 20 und davon abgeleitet der 40 Fuss Container die international weitaus gebräuchlichsten Behältnisse darstellen (vgl. Glossary for Transport Statistics, Document prepared by the Intersecretariat Working Group on transport statistics, EUROSTAT, ECMT, UN/ECE [Hrsg.], 2. Aufl., S. 90). Wohl in diesem Sinne verlangt die (in der Schweiz allerdings nicht anwendbare) Richtlinie 92/106/EWG des Rates vom 7. Dezember 1992 über die Festlegung gemeinsamer Regeln für bestimmte Beförderungen im kombinierten Güterverkehr zwischen den Mitgliedstaaten (nachfolgend: Richtlinie) eine Länge von "mindestens 20 Fuss" (vgl. Art. 1 der Richtlinie). Die internationalen Normen regeln aber die Anforderungen an Container lediglich in allgemeiner Weise. Die ISO-Norm 668 (a.a.O., Ziffer 4, S. 3) definiert dabei Nennlängen von 10, 20, 30 und 40 Fuss bzw. 3, 6, 9, 12 m. Aus den internationalen Normen geht indes nicht hervor, dass die durchschnittlich gebräuchlichen Container eine Länge von 18 bis 20 Fuss bzw. über 20 Fuss aufweisen. Folglich kann sich die Verwaltung bei der Beschränkung auf "18 bis 20 Fuss bzw. über 20 Fuss" nicht darauf berufen, solches ergäbe sich aus den internationalen Normen. Ausserdem erhellt daraus auch nicht, inwiefern damit die "durchschnittliche Grösse der zum Transport notwendigen" Fahrzeuge berücksichtigt wird. Weiter ist unklar, ob nun auf die durchschnittliche "Grösse" der Fahrzeuge (ist die Länge des Fahrzeuges gemeint oder eher das Gewicht?) oder der Container abgestellt werden wollte. Wie allenfalls Containerlänge und Fahrzeuglänge in einer für die LSVA massgebenden Weise zusammenhängen sollen, wird nicht erläutert und bleibt somit unklar.</w:t>
      </w:r>
    </w:p>
    <w:p>
      <w:r>
        <w:rPr>
          <w:b/>
        </w:rPr>
        <w:t>E. 4.3.2.2</w:t>
      </w:r>
    </w:p>
    <w:p>
      <w:r>
        <w:t>Als weiterer Grund für die Längenbeschränkung (auf 18 Fuss) wird weiter angeführt, man trage damit der "Tatsache Rechnung, dass zwei 20 Fuss-Container auch auf der Ladebrücke eines einzigen grossen Fahrzeuges Platz" hätten (vgl. E. 4.3.1). Mit diesem Argument geht es der Verwaltung möglicherweise darum, die Ladekapazität zu berücksichtigen, so dass möglichst viele Container - und damit möglichst viele Güter (und/oder Gewicht) auf einmal befördert werden. Die Rückerstattung wird aber auch für Wechselbehälter gewährt, die grösser als 20 Fuss sind. Zwei Container mit einer Länge von über 20 Fuss würden dann wohl nicht mehr "auf einer Ladebrücke eines einzigen Fahrzeuges" Platz finden. Umgekehrt würden (theoretisch) vier kleinere Container von je 10 Fuss durchaus Platz finden, sodass mit vier kleineren Container womöglich mehr transportiert werden könnte, als mit einem einzigen, über 20 Fuss langen Container oder zumindest ungefähr gleichviel, wie mit zwei 20 Fuss langen Containern. Gemäss der unwidersprochen gebliebenen Darstellung der Beschwerdeführerin fassen ausserdem die von ihr verwendeten Container dank einer zweckmässigeren Verdichtungstechnik dasselbe Gewicht wie Container von 5.95 m Länge. Insofern ist die Länge offenbar nicht kausal zur Ladekapazität. Abschliessend ist festzuhalten, dass der Sinn und die Tragweite des Arguments betreffend dem "Platz auf der Ladebrücke" dem Gericht verschlossen bleibt. Abgesehen davon bleibt unklar, inwiefern die für 20 Fuss geltende Überlegung die Längenbeschränkung auf 18 Fuss rechtfertigen soll.</w:t>
      </w:r>
    </w:p>
    <w:p>
      <w:r>
        <w:rPr>
          <w:b/>
        </w:rPr>
        <w:t>E. 4.3.3</w:t>
      </w:r>
    </w:p>
    <w:p>
      <w:r>
        <w:t>Das Bundesverwaltungsgericht stellt - wie in E. 4.3.2.1 erwähnt - nicht in Frage, dass es möglicherweise durchaus sachlich vertretbare Gründe für eine Längenbeschränkung geben mag. Die von der Verwaltung vorgetragenen Argumente sind nach Auffassung des Gerichts in sich aber nicht konsistent und insgesamt nicht nachvollziehbar. Dem Bundesverwaltungsgericht sind keine Gründe ersichtlich, weshalb der im Gesetz eingeräumte Anspruch auf pauschale Rückerstattung an eine Mindestlänge geknüpft werden soll. Solche Gründe ergeben sich auch nicht aus der Auslegung von Art. 4 Abs. 3 SVAG (vgl. zur Auslegung vgl. E. 2.7):</w:t>
      </w:r>
    </w:p>
    <w:p>
      <w:r>
        <w:rPr>
          <w:b/>
        </w:rPr>
        <w:t>E. 4.3.3.1</w:t>
      </w:r>
    </w:p>
    <w:p>
      <w:r>
        <w:t>Aus dem Wortlaut von Art. 4 Abs. 3 SVAG lässt sich keinen Hinweis auf eine mögliche Längenbeschränkung ersehen, räumt das Gesetz den Anspruch auf pauschale Rückerstattung der LSVA doch ganz generell ein. Vom Sinn und Zweck der Norm her, der in der Verlagerung des Güterverkehrs von der Strasse auf die Schiene besteht, indem für die Unternehmungen der verladenden Wirtschaft Anreize für die Nutzung des UKV geschaffen werden (vgl. Botschaft vom 23. Juni 1999 zur Genehmigung der sektoriellen Abkommen zwischen der Schweiz und der EG, BBl 1999 6128, 6298; vgl. auch Art. 1 Abs. 2 SVAG, E. 2.1), dürfte sich eine Längenbeschränkung eher negativ auswirken. Auf eine vorzusehende Längenbeschränkung lässt sich auch nicht aus dem Zusammenhang mit anderen Gesetzesbestimmungen - weder des SVAG noch des Bundesgesetzes vom 19. Dezember 2008 über die Verlagerung des alpenquerenden Güterschwerverkehrs von der Strasse auf die Schiene (BVVG, SR 740.1) bzw. des Vorgängererlasses vom 8. Oktober 1999 (AS 2000 2869), mit welchem Art. 4 Abs. 3 SVAG eingeführt wurde - schliessen. Nichts ableiten lässt sich diesbezüglich auch aus der in E. 4.3.2.1 erwähnten Richtlinie, äusserst sich doch der (vorliegend ohnehin nicht anwendbare,) die Förderung des kombinierten Verkehr betreffende Art. 36 des Landverkehrsabkommens gerade nicht zu Mindestabmessungen.</w:t>
      </w:r>
    </w:p>
    <w:p>
      <w:r>
        <w:rPr>
          <w:b/>
        </w:rPr>
        <w:t>E. 4.3.3.2</w:t>
      </w:r>
    </w:p>
    <w:p>
      <w:r>
        <w:t>Die entsprechende Botschaft (Botschaft vom 23. Juni 1999 zur Genehmigung der sektoriellen Abkommen zwischen der Schweiz und der EG, BBl 1999 6128) äussert sich nicht zu einer allfällig vorzusehenden Mindest-Längenbeschränkung. Unter dem Titel "Erhöhung des Potentials für den kombinierten Binnen- und Import-/Exportverkehr" wird erörtert, dass die LSVA grundsätzlich die Rahmenbedingungen für den Bahngüterverkehr verbessere (vgl. BBl 1999 6128, 6298). Eine vollständige Befreiung (von der LSVA) auf der gesamten Vor- und Nachlaufstrecken führe aber zu negativen Auswirkungen auf den übrigen Güterverkehr und zu unverhältnismässig langen strassenseitigen Vor- und Nachlaufstrecken. Auf der Basis einer vertiefen Analyse mehrerer denkbarer Varianten stehe deshalb eine Pauschalbefreiung im Umfang einer pauschal festgelegten Distanz (z.B. 40 km) und pro im Vor- bzw. Nachlauf transportiertem Container im Vordergrund. Dies bedeute z.B. in der Übergangsphase 2001-2004, dass die Transporteure pro umgeschlagenen Container eine LSVA-Rückerstattung im Umfang von 20 bis 25 Franken erhielten (LSVA-Rückerstattung für eine 40 km lange Fahrt). Wer einen kürzeren Vorlauf habe, erhalte somit de facto mehr rückerstattet, als er an LSVA bezahle und umgekehrt. Dadurch hätten die Transporteure einen hohen Anreiz, den nächstgelegenen Terminal anzusteuern. Es sei davon auszugehen, dass zumindest ein Teil der Rückerstattung an die verladende Wirtschaft weitergegeben werde. Damit werde ein Anreiz geschaffen, den unbegleiteten kombinierten Verkehr zu nutzen (vgl. zum Ganzen BBl 1999 6128, 6298). Aus diesen Ausführungen geht - ebenso wie aus der bisher zum UKV ergangenen Rechtsprechung (vgl. Urteil des Bundesgerichts 2A.71/2003 vom 6. Februar 2004 E. 3 f.) - nicht hervor, dass die Rückerstattung von einer Mindest-Containerlänge abhängen soll. Der Botschaft vom 8. Juni 2007 zur Güterverkehrsvorlage (BBl 2007 4377) lässt sich ebenfalls nichts Derartiges entnehmen. Die parlamentarischen Beratungen zu Art. 4 Abs. 3 SVAG geben ebenfalls keinen Hinweis auf eine geplante Längenbeschränkung. Im Zentrum der Debatte standen die grundsätzliche Frage der Aufhebung der von der LSVA befreiten 30-Kilometer-Radialzone und die alternativ dazu einzuführende pauschale Rückerstattung. Dazu äusserte sich SR Maissen wie folgt: "Der richtige Weg ist deshalb, dass man eine Pauschalisierung vornimmt, also derart, dass es eine pauschale Rückerstattung gibt, und zwar je Fahrt zu den Terminals, bei denen der kombinierte Verkehr erfolgen kann" (vgl. Sondersession des Ständerates August 1999 [Fünfte Sitzung, 02.09.99], AB S 1999 S 710, zu Art. 4 Abs. 3 SVAG). Im Nationalrat nahm BR Leuenberger zur pauschalen Rückerstattung wie folgt Stellung: "Wir sind zunächst der Auffassung, dass man dieses komplizierte Problem [gemeint ist die Regelung der pauschalen Rückerstattung der LSVA] nicht auf Gesetzesstufe regeln soll. Wir haben deswegen die Lösung gewählt, dass in der Botschaft angedeutet wird, in welche Richtung die Lösung gehen kann, dass nachher aber im übrigen das Ganze auf Verordnungsstufe geregelt werden soll. (...): Für Fahrten im Vor- und Nachlauf zum unbegleiteten kombinierten Verkehr (UKV) besteht Anspruch auf eine pauschale Rückerstattung, der Bundesrat regelt die Einzelheiten. (...). Wir haben unsererseits vorgeschlagen, dass es keine Radialzonen mehr gibt, die Lastwagen im Vor- und Nachlauf zum UKV die LSVA bezahlen müssen - das Gerät [gemeint ist das Gerät zur Erfassung der LSVA-pflichtigen Kilometer] ist dann auch eingeschaltet - und ein Anrecht auf pauschale Rückerstattung im Umfang von 20 bis 25 Franken pro Gefährt besteht. Das entspricht dann etwa einer Distanz von 40 Kilometern. Wenn nun jemand weniger als diese 40 Kilometer fährt, bekommt er eine Rückerstattung, die grösser ist als die LSVA, die er bezahlen muss. Ist die Distanz, die er zurückgelegt hat, grösser, bekommt er weniger zurück. Das scheint uns eine praktikable Lösung zu sein" (vgl. Nationalrat Herbstsession 1999 [Sechste Sitzung, 28.09.99] AB 1999 N 1850). Dass die Rückerstattung an eine Mindestlänge eines Containers geknüpft werden würde, wurde nicht erwähnt. BR Leuenberger sprach "lediglich" von pauschaler Rückerstattung "pro Gefährt". Aus dem vorgeschlagenen Rückerstattungsbetrag "im Umfang von 20 bis 25 Franken" musste zudem nicht geschlossen werden, dass es zwei Abgabekategorien in Abhängigkeit von der Länge des Gefährts geben wird, handelte es sich doch hierbei um eine grobe Orientierung darüber, in welcher Höhe sich die Rückerstattung bewegen sollte.</w:t>
      </w:r>
    </w:p>
    <w:p>
      <w:r>
        <w:rPr>
          <w:b/>
        </w:rPr>
        <w:t>E. 4.3.4</w:t>
      </w:r>
    </w:p>
    <w:p>
      <w:r>
        <w:t>Abschliessend ist festzuhalten, dass für das Bundesverwaltungsgericht im Lichte des Sinns und des Zwecks des UKV - nämlich die Verlagerung des Schwerverkehrs von der Strasse auf die Schiene (vgl. E. 4.3.3.1) - keine nachvollziehbaren sachlichen Gründe für die Festlegung einer Mindestlänge für die im UKV eingesetzten Container ersichtlich sind. Fehlen aber sachliche Gründe für eine Regelung, geht es nicht mehr um Fragen von deren (durch das Gericht nicht zu prüfende) Zweckmässigkeit, sondern erweist sich diese Norm als willkürlich. Folglich ist ihr im konkreten Fall die Anwendung zu versagen (vgl. E. 1.2.3, E. 1.2.4).</w:t>
      </w:r>
    </w:p>
    <w:p>
      <w:r>
        <w:rPr>
          <w:b/>
        </w:rPr>
        <w:t>E. 5.1</w:t>
      </w:r>
    </w:p>
    <w:p>
      <w:r>
        <w:t>Die Beschwerdeführerin wendet schliesslich ein, teilweise sei die Verjährung eingetreten. Die Verjährung richte sich nach Art. 15 Abs. 2 SVAG. Die Nachforderungsverfügung sei am 30. Mai 2012 ergangen. Gemäss SVAG könnten folglich sämtliche vor dem 30. Mai 2007 geleisteten LSVA-Rückerstattungen nicht mehr zurückgefordert werden.</w:t>
      </w:r>
    </w:p>
    <w:p>
      <w:r>
        <w:rPr>
          <w:b/>
        </w:rPr>
        <w:t>E. 5.2</w:t>
      </w:r>
    </w:p>
    <w:p>
      <w:r>
        <w:t>Bei oben erwähntem Ausgang des Verfahrens (vgl. E. 4.4) muss die Frage nicht mehr bis in die letzten Einzelheiten geklärt werden. Immerhin ist diesbezüglich Folgendes festzuhalten: Wäre das Bundesverwaltungsgericht zum Schluss gekommen, dass die Beschwerdeführerin keinen Anspruch auf Rückerstattung hätte, wäre zu bejahen gewesen, dass die Beschwerdeführerin - entgegen ihrer Behauptung - als zur Zahlung der Abgabe Verpflichtete bzw. als Empfängerin des Beitrags ohne Weiteres in den Genuss eines unrechtmässigen Vorteils gelangt wäre (vgl. E. 2.5.1 und E. 2.5.2). Daran ändert nichts, dass gemäss den eigenen Angaben der Beschwerdeführerin diese verpflichtet gewesen war, dem A._______ die LSVA-Rücker­stattung unter Abzug einer kleinen Administrativgebühr weiterzuleiten, welcher die Rückerstattungsbeträge einzig für die Vergünstigung der zu bezahlenden Bahntransportkosten verwendet hatte. Die Vorinstanz hätte diesfalls gestützt auf Art. 12 Abs. 1 VStrR zu Recht die Rückerstattungen von der Beschwerdeführerin zurückgefordert (vgl. E. 2.5.1). Die Verjährung solcher Nach- und Rückleistungspflichten beurteilt sich nach Art. 12 Abs. 4 VStrR (vgl. E. 2.6) und nicht nach dem SVAG, wie dies die Vorinstanz zutreffend dargelegt hat. Mit Verfügung vom 30. Mai 2012 wurde die Leistungspflicht der Beschwerdeführerin rückwirkend bis Januar 2007 festgesetzt. Die Verfolgungsverjährung beträgt gemäss den einschlägigen Bestimmungen sieben Jahre, sodass zu entscheiden gewesen wäre, dass die Verjährung für die beanstandete Teilforderung nicht eingetreten wäre (vgl. E. 2.6.2).</w:t>
      </w:r>
    </w:p>
    <w:p>
      <w:r>
        <w:rPr>
          <w:b/>
        </w:rPr>
        <w:t>E. 6</w:t>
      </w:r>
    </w:p>
    <w:p>
      <w:r>
        <w:t>Den vorstehenden Erwägungen (E. 4) zufolge ist die Beschwerde gutzuheissen und der Entscheid der Vorinstanz vom 4. Februar 2013 ist aufzuheben.</w:t>
      </w:r>
    </w:p>
    <w:p>
      <w:r>
        <w:rPr>
          <w:b/>
        </w:rPr>
        <w:t>E. 6.1</w:t>
      </w:r>
    </w:p>
    <w:p>
      <w:r>
        <w:t>Bei diesem Ausgang sind der Beschwerdeführerin und der Vorinstanz keine Verfahrenskosten aufzuerlegen (Art. 63 VwVG). Die Kosten des Verfahrens werden auf Fr. 4'200.- angesetzt und auf die Gerichtskasse genommen. Der von der Beschwerdeführerin geleistete Kostenvorschuss in derselben Höhe ist ihr nach Rechtskraft des vorliegenden Urteils zurückzuerstatten.</w:t>
      </w:r>
    </w:p>
    <w:p>
      <w:r>
        <w:rPr>
          <w:b/>
        </w:rPr>
        <w:t>E. 6.2</w:t>
      </w:r>
    </w:p>
    <w:p>
      <w:r>
        <w:t>Das Bundesverwaltungsgericht trifft den Entscheid über die Parteientschädigung von Amtes wegen aufgrund der Kostennote, sofern vorhanden, sowie den Akten und in der Regel ohne eingehende Begründung. Die anwaltlich vertretene Beschwerdeführerin hat keine Kostennote eingereicht bzw. ihre notwendigen Auslagen nicht nachgewiesen. Die Parteientschädigung der Beschwerdeführerin für die ihr erwachsenen notwendigen Auslagen ist aufgrund der Akten und nach freiem richterlichem Ermessen auf insgesamt Fr. 4'700.- (inkl. Auslagen und Mehrwertsteuer) festzusetzen (Art. 64 Abs. 1 VwVG; Art. 7 Abs. 1, Art. 8, Art. 13 Bst. a und Art.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