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A-1375/2011 vom 24. November 2011</w:t>
      </w:r>
    </w:p>
    <w:p>
      <w:r>
        <w:t>Bundesverwaltungsgericht, 2011-11-24, DE</w:t>
      </w:r>
    </w:p>
    <w:p>
      <w:r>
        <w:rPr>
          <w:b/>
        </w:rPr>
        <w:t xml:space="preserve">Quelle: </w:t>
      </w:r>
      <w:r>
        <w:t>https://mcp.opencaselaw.ch/entscheid/bvger_A-1375_2011</w:t>
      </w:r>
    </w:p>
    <w:p>
      <w:r>
        <w:t>FR: TAF A-1375/2011 du 24 novembre 2011</w:t>
      </w:r>
    </w:p>
    <w:p>
      <w:r>
        <w:t>IT: TAF A-1375/2011 del 24 novembre 2011</w:t>
      </w:r>
    </w:p>
    <w:p>
      <w:pPr>
        <w:pStyle w:val="Heading2"/>
      </w:pPr>
      <w:r>
        <w:t>Regeste</w:t>
      </w:r>
    </w:p>
    <w:p>
      <w:r>
        <w:t>Personen- und Warentransport</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UVEK gehört zu den Behörden nach Art. 33 VGG und ist daher eine Vorinstanz des Bundesverwaltungsgerichts. Eine Ausnahme gemäss Art. 32 VGG ist nicht gegeben.</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am vorinstanzlichen Verfahren teilgenommen und ist Adressatin der Verfügung des UVEK betreffend die Erteilung der Konzession Nr. 700 für regelmässige gewerbsmässige Personenbeförderung vom 25. Januar 2011. Sie ist durch die Auflage in Ziffer 3 des Dispositivs der Verfügung materiell beschwert und somit befugt, gegen diesen Teil der Konzessionsverfügung Beschwerde zu erheben.</w:t>
      </w:r>
    </w:p>
    <w:p>
      <w:r>
        <w:rPr>
          <w:b/>
        </w:rPr>
        <w:t>E. 1.3</w:t>
      </w:r>
    </w:p>
    <w:p>
      <w:r>
        <w:t>Auf die frist- und formgerecht eingereichte Beschwerde (Art. 50 und 52 VwVG) ist demnach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(vgl. Art. 49 VwVG).</w:t>
      </w:r>
    </w:p>
    <w:p>
      <w:r>
        <w:rPr>
          <w:b/>
        </w:rPr>
        <w:t>E. 3</w:t>
      </w:r>
    </w:p>
    <w:p>
      <w:r>
        <w:t>Mit dem Angebot des öffentlichen Verkehrs soll aus verkehrspolitischen und ökologischen Gründen sowie - insbesondere mit einem Nachtbusangebot - zur Verbesserung der Sicherheit im Strassenverkehr eine attraktive Alternative zum motorisierten Individualverkehr geboten werden. Eine mögliche Massnahme um auf dieses Ziel hinzuwirken, ist die Einbindung der konzessionierten Transportunternehmen (KTU) bzw. der konzessionierten Linien in den direkten Verkehr. Als direkter schweizerischer Verkehr gilt die durchgehende Beförderung von Personen zwischen zwei oder mehreren KTU aufgrund eines einzigen Transportvertrags und eines gemeinsamen Tarifs (vgl. Ziff.1.2.1 des Übereinkommens über die Organisation der Zusammenarbeit der am direkten schweizerischen Personenverkehr beteiligten Transportunternehmen vom 1. Januar 2010, Ue510). Im Fern-, Regional- und Ortsverkehr bieten die Transportunternehmen gemäss Art. 16 Abs. 1 PBG in der Regel der Kundschaft für Verbindungen, die über das Netz verschiedener Unternehmen führen, einen einzigen Transportvertrag an. Soweit ein Bedürfnis besteht, ist im Fern- und Regionalverkehr zwingend ein direkter Verkehr anzubieten. Die Transportunternehmen erstellen dafür gemeinsame Tarife und Fahrausweise (Abs. 2).</w:t>
      </w:r>
    </w:p>
    <w:p>
      <w:r>
        <w:rPr>
          <w:b/>
        </w:rPr>
        <w:t>E. 3.1</w:t>
      </w:r>
    </w:p>
    <w:p>
      <w:r>
        <w:t>Art. 16 PBG ist allgemein formuliert und deshalb nicht auf den bestellten öffentlichen Verkehr beschränkt. Er ist somit auch auf bestellerun­abhängige und damit nicht abgeltungsberechtigte konzessionierte Transportunternehmen anwendbar. Wie der Wortlaut der Bestimmung zum Ausdruck bringt, muss also auch ein nicht abgeltungsberechtigtes KTU - unter der Voraussetzung, dass ein entsprechendes Bedürfnis besteht - den direkten Verkehr für den Fern- und Regionalverkehr zwingend anbieten.</w:t>
      </w:r>
    </w:p>
    <w:p>
      <w:r>
        <w:rPr>
          <w:b/>
        </w:rPr>
        <w:t>E. 3.2</w:t>
      </w:r>
    </w:p>
    <w:p>
      <w:r>
        <w:t>Die Vorinstanz ist gemäss Art. 6 Abs. 4 PBG zuständig für die Ersterteilung einer Personenbeförderungskonzession. Sie kann die Konzession gestützt auf Art. 4 Abs. 3 VPB an Bedingungen knüpfen oder mit Auflagen verbinden. Die Vorinstanz ist damit auch zuständig, zu entscheiden, wann ein Bedürfnis für die Einbindung in den direkten Verkehr besteht.</w:t>
      </w:r>
    </w:p>
    <w:p>
      <w:r>
        <w:rPr>
          <w:b/>
        </w:rPr>
        <w:t>E. 3.3</w:t>
      </w:r>
    </w:p>
    <w:p>
      <w:r>
        <w:t>Gestützt auf Art. 56 Abs. 2 VPB ist in der Konzession festzuhalten, wenn im Fern-, Regional- und Ortsverkehr - bzw. für welche Linien - kein direkter Verkehr angeboten werden muss. Soll ein Angebot in den direkten Verkehr eingebunden werden, müsste sich die Vorinstanz dazu folglich gar nicht äussern. Hier erachtete es die Vorinstanz jedoch wohl der Klarheit halber als angebracht, die Einbindung in den direkten Verkehr trotzdem explizit zu verfügen, zumal die strittige Nachtbuslinie bereits ins Nachtsternangebot mit Pauschaltarif aufgenommen worden war und der Beschwerdeführerin eine Übergangsfrist für die Anpassung der Tarife eingeräumt werden sollte. Dieses Vorgehen wirkt sich zu Gunsten der Beschwerdeführerin aus und ist nicht zu beanstanden.</w:t>
      </w:r>
    </w:p>
    <w:p>
      <w:r>
        <w:rPr>
          <w:b/>
        </w:rPr>
        <w:t>E. 3.4</w:t>
      </w:r>
    </w:p>
    <w:p>
      <w:r>
        <w:t>Die Vorinstanz ist folglich berechtigt, indirekt auf die Tarifbildung einzuwirken, indem sie die Einbindung in den direkten Verkehr verfügt. Fraglich bleibt hingegen, ob eine Einbindung im konkreten Fall gerechtfertigt und zweckmässig ist.</w:t>
      </w:r>
    </w:p>
    <w:p>
      <w:r>
        <w:rPr>
          <w:b/>
        </w:rPr>
        <w:t>E. 4</w:t>
      </w:r>
    </w:p>
    <w:p>
      <w:r>
        <w:t>Die Argumentation der Beschwerdeführerin, beim hier interessierenden Nachtbus handle es sich um eine direkte Verbindung von Luzern nach Altdorf mit nur einem konzessionierten Transportunternehmen, ein weiteres KTU sei nicht beteiligt, greift nicht. Auf jeder konzessionierten Linie wird das Angebot in der Regel nur von einem einzigen Transportunternehmen erbracht. Der direkte Verkehr soll sicherstellen, dass Fahrausweise linien- und transportunternehmensübergreifend angeboten und anerkannt werden. Beim direkten Verkehr geht es gerade darum, den Fahrgästen zu ermöglichen, mit einem einzigen Fahrausweis zu reisen, auch wenn sie z.B. von einem Fernverkehrszug auf einen von einem anderen Transportunternehmen betriebenen Nahverkehrszug oder -bus umsteigen. Betreffend die Buslinie Luzern - Altdorf würde dies z.B. bedeuten, dass für eine Fahrt von Basel über Luzern nach Altdorf ein einziger Fahrausweis gekauft werden könnte. Für diesen Fall wäre die Voraussetzung der Verbindung über das Netz verschiedener Unternehmen gemäss Art. 16 PBG erfüllt.</w:t>
      </w:r>
    </w:p>
    <w:p>
      <w:r>
        <w:rPr>
          <w:b/>
        </w:rPr>
        <w:t>E. 5</w:t>
      </w:r>
    </w:p>
    <w:p>
      <w:r>
        <w:t>Art. 16 Abs. 1 Satz 2 PBG erklärt die Einbindung in den direkten Verkehr für den Fern- und Regionalverkehr für zwingend, sofern ein entsprechendes Bedürfnis besteht. Gemäss Art. 56 VPB ist in der Konzession festzulegen, für welche Linien der direkte Verkehr nicht angeboten werden muss. Diese Formulierung impliziert, dass für den konzessionierten Verkehr grundsätzlich ein Bedürfnis für die Einbindung in den direkten Verkehr angenommen wird. Dieses nach Art. 16 PBG verlangte "Bedürfnis" wird in Gesetz und Verordnung nicht näher umschrieben. Es handelt sich dabei um einen unbestimmten Rechtsbegriff, der der Einzelfallgerechtigkeit dient (vgl. Urteil des Bundesverwaltungsgerichts A-6086/2010 vom 16. Juni 2011 E. 6). Verwendet das Gesetz einen unbestimmten Rechtsbegriff, ist es Sache der Behörde oder des Gerichts, diesen zu konkretisieren (vgl. BGE 116 IV 312 E. 2c). Auch wenn gestützt auf die gesetzlichen Bestimmungen grundsätzlich von einem Bedürfnis, die Nachtbuslinie in den direkten Verkehr einzubinden, auszugehen ist, hat die Vorinstanz dieses Bedürfnis in jedem konkreten Anwendungsfall zu prüfen. Das Bundesverwaltungsgericht überprüft gestützt auf Art. 49 VwVG grundsätzlich in freier Kognition, ob die Vorinstanz den unbestimmten Rechtsbegriff richtig ausgelegt und zweckmässig angewandt hat (vgl. Urteil des Bundesverwaltungsgerichts A-8335/2010 vom 5. Mai 2011 E. 3.2).</w:t>
      </w:r>
    </w:p>
    <w:p>
      <w:r>
        <w:rPr>
          <w:b/>
        </w:rPr>
        <w:t>E. 5.1</w:t>
      </w:r>
    </w:p>
    <w:p>
      <w:r>
        <w:t>Bei der Beurteilung des Bedürfnisses sind Angebot und Tarif auseinanderzuhalten. Das heisst, ein Bedürfnis, dass eine Nachtbuslinie angeboten wird, kann ohne weiteres angenommen werden und wird von den Parteien auch nicht bestritten. Dies begründet aber nicht automatisch ein Bedürfnis, die Nachtbuslinie in den direkten Verkehr einzubinden. Art. 16 PBG bezieht sich nur auf diese zweite Frage, also darauf, ob ein Bedürfnis an der Einbindung in den direkten Verkehr besteht. Dies hat die Vorinstanz richtig erkannt, indem sie ihren Entscheid, die Nachtbuslinie sei in den direkten Verkehr einzubinden, damit begründet, es bestehe ein Interesse daran, einen einzigen Fahrausweis für Retourfahrten oder für Fahrten im Sinn einer (spätabendlichen) Reisekette über das Netz verschiedener KTU kaufen zu können. Diese Auslegung des "Bedürfnisses" deckt sich mit dem Grundgedanken des direkten Verkehrs. Die Vorinstanz hat das Bedürfnis somit nicht offensichtlich falsch definiert; sie unterlässt es jedoch, konkrete Rechenbeispiele durchzuführen, bzw. weiter auf den hier interessierenden Einzelfall einzugehen. Insbesondere hat sie sich nicht weiter mit den finanziellen Folgen für die Beschwerdeführerin und für die Fahrgäste auseinandergesetzt. Es ist somit zu prüfen, ob die vorinstanzliche Anwendung dieses unbestimmten Rechtsbegriffs im vorliegenden Fall zweckmässig und angemessen ist.</w:t>
      </w:r>
    </w:p>
    <w:p>
      <w:r>
        <w:rPr>
          <w:b/>
        </w:rPr>
        <w:t>E. 5.2</w:t>
      </w:r>
    </w:p>
    <w:p>
      <w:r>
        <w:t>Das Tagesangebot auf der Strecke Luzern - Altdorf ist mit seinen Kursen zu den Hauptverkehrszeiten auf den (Berufs-)Pendlerverkehr aus­gerichtet. Dieses Angebot ist Teil des bestellten Verkehrsangebots und daher abgeltungsberechtigt (vgl. Art. 28 PBG). Dass ein Angebot bestellt wird, ist bereits ein Indiz dafür, dass ein Bedürfnis an dessen Einbindung in den direkten Verkehr besteht. Im bestellten Verkehrsangebot werden allfällige ungedeckte Kosten durch Bund und Kantone abgegolten, weshalb das wirtschaftliche Risiko für das Transportunternehmen gering ist. Im nicht bestellten Verkehr hingegen sieht die Situation etwas anders aus. Dort ist das Verkehrsangebot nicht schon an sich "notwendig". Im vorliegenden Fall handelt es sich um eine Art Zusatzangebot zu den Tageskursen, welches das Transportunternehmen zur Komplettierung des übrigen "nachtstern"-Angebots anbietet. Das "Manual Direkter Verkehr" des Verbands öffentlicher Verkehr (S. 95) definiert als Nachtangebot, für welches Nachtzuschläge zulässig sind, Fahrten in Zügen und Bussen ausserhalb der normalen Betriebszeiten. Dabei handle es sich üblicherweise um Züge und Busse, die nach 1 Uhr nachts respektive nach dem letzten Fernverkehrszug abfahren. Daraus folgt, dass der Tag- und der Nachtbetrieb eben nicht ein und dasselbe Angebot sind, weshalb auch nicht automatisch von einem (übergeordneten) Interesse an der Einbindung der Nachtbuslinie - z.B. im Sinn einer spätabendlichen Reisekette für Reisende vom Interregio aus Basel - in den direkten Verkehr ausgegangen werden kann. Es drängt sich vielmehr eine differenziertere Betrachtung auf.</w:t>
      </w:r>
    </w:p>
    <w:p>
      <w:r>
        <w:rPr>
          <w:b/>
        </w:rPr>
        <w:t>E. 5.3</w:t>
      </w:r>
    </w:p>
    <w:p>
      <w:r>
        <w:t>Die Vorinstanz argumentiert, es bestehe ein Interesse daran, dass Fahrgäste, die den Hinweg bereits mit dem öffentlichen Verkehr gemacht haben, ein einziges Billett für Hin- und Rückfahrt kaufen können. Dem ist zu entgegnen, dass ein entsprechendes Retourbillett höchstens von praktischem, nicht jedoch von finanziellem Nutzen sein könnte, kostet doch ein Retourbillett gleich viel wie zwei einfache Fahrten. Selbst der praktische Nutzen ist freilich zu bezweifeln bzw. minim, zumal bei Benutzung des Nachtbusses ohnehin ein Nachtzuschlag im Bus zu bezahlen ist.</w:t>
      </w:r>
    </w:p>
    <w:p>
      <w:r>
        <w:rPr>
          <w:b/>
        </w:rPr>
        <w:t>E. 5.4</w:t>
      </w:r>
    </w:p>
    <w:p>
      <w:r>
        <w:t>Zu beachten ist ebenfalls, dass Fahrgäste mit HTA, die noch kein Billett des direkten Verkehrs haben, den Pauschaltarif - ohne Vergünstigung - bezahlen müssten, weil gemäss Konzessionsverfügung keine Verpflichtung besteht, Fahrausweise des direkten Verkehrs in den Bussen zu verkaufen. Um von einer Vergünstigung dank HTA profitieren zu können, müssten die Fahrgäste somit separat ein Billett des direkten Verkehrs kaufen und anschliessend im Bus einen Nachtzuschlag entrichten. Das HTA würde nur anerkannt, wenn bereits ein Billett des direkten Verkehrs gelöst wurde, d.h. die Einbindung in den direkten Verkehr wäre keine vollständige. Dies widerspräche dem Gedanken des direkten Verkehrs.</w:t>
      </w:r>
    </w:p>
    <w:p>
      <w:r>
        <w:rPr>
          <w:b/>
        </w:rPr>
        <w:t>E. 5.5</w:t>
      </w:r>
    </w:p>
    <w:p>
      <w:r>
        <w:t>Weiter würden Inhaber des HTA bei Anerkennung der Fahrausweise des direkten Verkehrs mit Nachtzuschlag wesentlich mehr bezahlen als mit dem heute geltenden Pauschaltarif. Beim Kauf eines einzigen Fahrausweises für Verbindungen über das Netz verschiedener Unternehmen hätte der Fahrgast aufgrund des Kilometeranstosses zwar einen gewissen finanziellen Vorteil (z.B. für die Strecke Basel - Altdorf Fr. 24.50 anstatt Fr. 25.60 beim Kauf je eines Fahrausweises für die Teilstücke Basel - Luzern [Fr. 15.50], Luzern - Altdorf [Fr. 10.10]), dieser hebt sich für einen HTA-Inhaber jedoch aufgrund des Nachtzuschlags insgesamt wieder auf. Ebenso müsste der Pauschaltarif für Kunden ohne Fahrausweis des direkten Verkehrs höher ausfallen als der Preis für eine einfache Fahrt mit HTA und Nachtzuschlag, um Fahrgäste mit HTA gegenüber denjenigen ohne HTA nicht zu benachteiligen. Das heisst, der Pauschaltarif wäre viel höher anzusetzen als der heutige. Das Nachtbusangebot ist als eine Art Freizeitangebot zu verstehen. Das Transportunternehmen hat ein Interesse daran, die Nachtbuslinie zumindest annähernd kostendeckend betreiben zu können, zumal die ungedeckten Kosten im nicht bestellten Verkehrsangebot nicht durch die öffentliche Hand abgegolten werden. Die erzielbaren Erlösanteile aus dem direkten Verkehr für das Nachtbusangebot dürften aufgrund der relativ geringen Auslastung und der mit momentan nur vier Kursen pro Woche sehr kleinen Anzahl Fahrten tatsächlich sehr gering ausfallen. Deshalb müsste der Nachtzuschlag wohl relativ hoch angesetzt werden. Die einzigen Fahrgäste, die in einem gewissen Mass von der Einbindung profitieren würden, wären die Inhaber eines GA, und auch diese hätten keinen wesentlichen finanziellen Vorteil, wenn der Nachtzuschlag mangels Abgeltung durch Bund und Kantone deutlich über Fr. 5.-- angesetzt werden müsste.</w:t>
      </w:r>
    </w:p>
    <w:p>
      <w:r>
        <w:rPr>
          <w:b/>
        </w:rPr>
        <w:t>E. 6</w:t>
      </w:r>
    </w:p>
    <w:p>
      <w:r>
        <w:t>Zusammenfassend ergibt sich somit Folgendes: Ziel des Nachtbusangebots ist es, möglichst viele "Nachtschwärmer" mit öffentlichen Verkehrsmitteln zu befördern und damit nicht zuletzt auch die Sicherheit im Strassenverkehr zu verbessern. Dies kann jedoch nur erreicht werden, wenn die Leistungen des öffentlichen Verkehrs zu attraktiven Preisen angeboten werden können. Im konkreten Fall ist dies bei Einbindung der Nachtbuslinie Luzern - Altdorf in den direkten Verkehr nicht möglich. Die Einbindung würde dem Bestreben, mit dem Angebot des öffentlichen Verkehrs eine attraktive Alternative zum motorisierten Individualverkehr zu bieten, zuwiderlaufen. Zudem könnte hier weder eine Vereinfachung der Tarifgestaltung für die Fahrgäste erreicht noch die Attraktivität des öffentlichen Verkehrs gesteigert werden. Die Einbindung in den direkten Verkehr würde vielmehr zu einem stossenden und nicht zweckmässigen Ergebnis führen. Die Vorinstanz hat somit dem konkreten Einzelfall zu wenig Rechnung getragen und zu Unrecht die Einbindung in den direkten Verkehr verfügt. Die Beschwerde ist demnach gutzuheissen, Ziffer 3 der angefochtenen Verfügung aufzuheben und aufgrund von Art. 56 Abs. 2 VPB durch folgenden Wortlaut zu ersetzen: Für die Linie Luzern - Altdorf via Seelisbergtunnel (Nachtbus) muss kein direkter Verkehr angeboten werden.</w:t>
      </w:r>
    </w:p>
    <w:p>
      <w:r>
        <w:rPr>
          <w:b/>
        </w:rPr>
        <w:t>E. 7.1</w:t>
      </w:r>
    </w:p>
    <w:p>
      <w:r>
        <w:t>Bei diesem Ausgang des Verfahrens gilt die Beschwerdeführerin als obsiegende Partei, weshalb ihr in der Hauptsache keine Verfahrenskosten aufzuerlegen sind. Die Kosten für die Zwischenverfügung vom 6. April 2011 betreffend das Gesuch um Entzug der aufschiebenden Wirkung in der Höhe von Fr. 500.-- werden der diesbezüglich unterliegenden Beschwerdeführerin auferlegt (Art. 63 Abs. 1 VwVG). Dieser Betrag wird mit dem geleisteten Kostenvorschuss in der Höhe von Fr. 1'500.-- verrechnet. Der Überschuss von Fr. 1'000.-- wird der Beschwerdeführerin nach Eintritt der Rechtskraft dieses Urteils zurückerstattet. Hierzu hat sie dem Bundesverwaltungsgericht ihre Post- oder Bankverbindung bekannt zu geben. Der Vorinstanz können keine Verfahrenskosten auferlegt werden (Art. 63 Abs. 2 VwVG).</w:t>
      </w:r>
    </w:p>
    <w:p>
      <w:r>
        <w:rPr>
          <w:b/>
        </w:rPr>
        <w:t>E. 7.2</w:t>
      </w:r>
    </w:p>
    <w:p>
      <w:r>
        <w:t>Der obsiegenden Partei ist von Amtes wegen oder auf Begehren eine Entschädigung für ihr erwachsene notwendige und verhältnismässig hohe Kosten zuzusprechen; obsiegt die Partei nur teilweise, so ist die Parteientschädigung entsprechend zu kürzen (Art. 64 Abs. 1 VwVG, Art. 7 ff. des Reglements vom 21. Februar 2008 über die Kosten und Entschädigungen vor dem Bundesverwaltungsgericht [VGKE, SR 173.320.2]). Die in der Hauptsache obsiegende und anwaltlich vertretene Beschwerdeführerin hat Anspruch auf eine Parteientschädigung. Wird keine Kostennote eingereicht, setzt das Gericht die Parteientschädigung auf Grund der Akten fest (Art. 14 Abs. 2 VGKE). Die unter Berücksichtigung des Unterliegens der Beschwerdeführerin hinsichtlich der Zwischenverfügung auf Fr. 2'000.-- (inkl. Auslagen und MWSt) festzusetzende Parteientschädigung ist der Vorinstanz zur Bezahlung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