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A-1373/2006 vom 16. November 2007</w:t>
      </w:r>
    </w:p>
    <w:p>
      <w:r>
        <w:t>Bundesverwaltungsgericht, 2007-11-16, DE</w:t>
      </w:r>
    </w:p>
    <w:p>
      <w:r>
        <w:rPr>
          <w:b/>
        </w:rPr>
        <w:t xml:space="preserve">Quelle: </w:t>
      </w:r>
      <w:r>
        <w:t>https://mcp.opencaselaw.ch/entscheid/bvger_A-1373_2006</w:t>
      </w:r>
    </w:p>
    <w:p>
      <w:r>
        <w:t>FR: TAF A-1373/2006 du 16 novembre 2007</w:t>
      </w:r>
    </w:p>
    <w:p>
      <w:r>
        <w:t>IT: TAF A-1373/2006 del 16 novembre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MWSTV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übernimmt am 1. Januar 2007 die Beurteilung der vorher bei der SRK hängigen Rechtsmittel und wendet das neue Verfahrensrecht an (Art. 53 Abs. 2 VGG). Auf die Beschwerde ist somit einzutreten.</w:t>
      </w:r>
    </w:p>
    <w:p>
      <w:r>
        <w:rPr>
          <w:b/>
        </w:rPr>
        <w:t>E. 1.2</w:t>
      </w:r>
    </w:p>
    <w:p>
      <w:r>
        <w:t>Am 1. Januar 2001 sind das MWSTG sowie die zugehörige Verordnung in Kraft getreten. Der zu beurteilende Sachverhalt bezieht sich auf die Jahre 1998 bis 2001, so dass auf die vorliegende Beschwerde betreffend den Sachverhalt bis Ende 2000 noch bisheriges Recht und für die restliche Zeit neues Recht anwendbar ist (Art. 93 und 94 MWSTG).</w:t>
      </w:r>
    </w:p>
    <w:p>
      <w:r>
        <w:rPr>
          <w:b/>
        </w:rPr>
        <w:t>E. 2.1</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(statt vieler: Urteile des Bundesverwaltungsgerichts [BVGer] A-1354/2006 vom 24. August 2007 E. 2 mit Hinweisen; A-1429/2006 vom 29. August 2007 E. 2.4).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Archiv für Schweizerisches Abgaberecht [ASA] 75 S. 495 ff. E. 5.4; Entscheid der SRK vom 18. November 2002, Verwaltungspraxis der Bundesbehörden [VPB] 67.49, E. 3b/bb; Urteile des BVGer A-1354/2006 vom 24. August 2007 E. 2; A-1429/2006 vom 29. August 2007 E. 2.4, je mit Hinweisen). Eine vom Steuerpflichtigen zu beweisende steuermindernde Tatsache stellt etwa das Recht zum Vorsteuerabzug dar (Urteil des Bundesgerichts 2A.406/2002 vom 31. März 2004, E. 3.4; Entscheide der SRK vom 15. Oktober 1999, VPB 64.47 E. 5b; vom 14. Januar 2005, VPB 69.88 E. 3c/bb mit Hinweis).</w:t>
      </w:r>
    </w:p>
    <w:p>
      <w:r>
        <w:rPr>
          <w:b/>
        </w:rPr>
        <w:t>E. 2.2</w:t>
      </w:r>
    </w:p>
    <w:p>
      <w:r>
        <w:t>Verwendet ein Steuerpflichtiger Gegenstände oder Dienstleistungen für steuerbare Ausgangsleistungen, so kann er in seiner Steuerabrechnung die ihm von anderen Steuerpflichtigen in Rechnung gestellte Steuer für Lieferungen und Dienstleistungen abziehen (Art. 29 Abs. 1 und 2 MWSTV, Art. 38 Abs. 1 und 2 MWST).</w:t>
      </w:r>
    </w:p>
    <w:p>
      <w:r>
        <w:rPr>
          <w:b/>
        </w:rPr>
        <w:t>E. 2.2.1</w:t>
      </w:r>
    </w:p>
    <w:p>
      <w:r>
        <w:t>Für den Vorsteuerabzug ist unter anderem erforderlich, dass die mit der Vorsteuer belasteten Gegenstände oder Dienstleistungen für einen geschäftlich begründeten Zweck verwendet werden. Für Ausgaben ohne geschäftlichen Charakter besteht kein Vorsteuerabzugsrecht. Die bezogenen Leistungen müssen gemäss Art. 29 Abs. 1 MWSTV bzw. Art. 38 Abs. 1 und 2 MWSTG für einen Zweck im Sinne von Abs. 2 der Bestimmungen verwendet werden, namentlich für steuerbare Lieferungen und Dienstleistungen. Es bedarf eines objektiven wirtschaftlichen Zusammenhangs zwischen steuerbarer Eingangs- und Ausgangsleistung (BGE 132 II 353 E. 8.2 f., 10; Urteile des Bundesgerichts 2A.650/2005 vom 16. August 2006 E. 3.4; 2A.175/2002 vom 23. Dezember 2002 E. 5.2 in fine; statt vieler: Entscheid der SRK vom 14. März 2006, VPB 70.79 E. 2c; Urteil des BVGer A-1357/2006 vom 27. Juni 2007 E. 2.1 mit Hinweisen). Werden bezogene Leistungen nicht für geschäftlich begründete Zwecke bzw. nicht für steuerbare Ausgangsumsätze verwendet, liegt Endverbrauch beim Steuerpflichtigen vor, welcher nicht zum Vorsteuerabzug berechtigt (BGE 132 II 353 E. 10, ferner 8.2). Endverbrauch ist nicht zwingend privat. Auch juristische Personen als Steuerpflichtige können ein Nebeneinander von unternehmerischer und nichtunternehmerischer Betätigung aufweisen (sog. "Endverbrauch in der Unternehmenssphäre") (BGE 123 II 295 E. 7a; zum Ganzen auch Urteil des BVGer A-1357/2006 vom 27. Juni 2007 E. 2.2 mit Hinweisen).</w:t>
      </w:r>
    </w:p>
    <w:p>
      <w:r>
        <w:rPr>
          <w:b/>
        </w:rPr>
        <w:t>E. 2.2.2</w:t>
      </w:r>
    </w:p>
    <w:p>
      <w:r>
        <w:t>Verwendet der Steuerpflichtige Gegenstände oder Dienstleistungen sowohl für Zwecke, die zum Vorsteuerabzug berechtigen, als auch für andere Zwecke (sog. gemischte Verwendung), so ist der Vorsteuerabzug gemäss Art. 32 Abs. 1 MWSTV bzw. Art. 41 Abs. 1 MWSTG nach dem Verhältnis der Verwendung zu kürzen (vgl. etwa Entscheide der SRK vom 4. März 2002, VPB 66.58 E. 4b/aa; vom 8. Juni 2004, VPB 68.161 E. 2c, 2e).</w:t>
      </w:r>
    </w:p>
    <w:p>
      <w:r>
        <w:rPr>
          <w:b/>
        </w:rPr>
        <w:t>E. 3</w:t>
      </w:r>
    </w:p>
    <w:p>
      <w:r>
        <w:t>Die Beschwerdeführerin erzielte Umsätze aus der Gebrauchsüberlassung eines Flugzeuges an die M., welche das Flugzeug zur Durchführung von Flügen für Dritte verwendete und der Beschwerdeführerin hierfür eine Vergütung leistete (siehe Aircraft Management-Vertrag, act. 14, Ziff. 1.2, 4.1, 4.3). Diese Umsätze hat die Beschwerdeführerin gegenüber der ESTV als steuerbare Umsätze deklariert und ihre steuerliche Behandlung bildet vorliegend nicht Streitgegenstand. Mit Entscheid vom 31. Oktober 2002 nahm die ESTV eine Vorsteuerkorrektur vor, weil die Beschwerdeführerin zu Unrecht sämtliche bei ihr angefallenen Vorsteuern (auf den Leasingraten der Bank ... für das Flugzeug und auf den von der M. fakturierten Aircraft Management Leistungen) in Abzug gebracht habe. Das Flugzeug sei nur teilweise für steuerbare Zwecke verwendet worden, der Hauptverwendungszweck liege gemäss dem Aircraft Management-Vertrag im Einsatz für die Beschwerdeführerin selber, was keinen zum Vorsteuerabzug berechtigenden Umsatz begründe. In ihrer Einsprache machte die Beschwerdeführerin sodann (erstmals) geltend, sie habe neben den unbestrittenen Umsätzen zusätzliche (nicht steuerpflichtige) Umsätze im Umfang von USD 10'360'881 erzielt, indem sie das Flugzeug noch direkt verchartert habe. Die ESTV bestreitet eine solche anderweitige Verwendung des Flugzeuges, die fraglichen Umsätze seien nicht nachgewiesen.</w:t>
      </w:r>
    </w:p>
    <w:p>
      <w:r>
        <w:rPr>
          <w:b/>
        </w:rPr>
        <w:t>E. 3.1</w:t>
      </w:r>
    </w:p>
    <w:p>
      <w:r>
        <w:t>Vorsteuern können nur abgezogen werden, wenn die damit belasteten Eingangsleistungen in Ausgangsleistungen im Sinne von Art. 29 Abs. 1 und 2 MWSTV bzw. Art. 38 Abs. 1 und 2 MWSTG fliessen (oben E. 2.2.1). Zu den abzugsberechtigenden Ausgangsumsätzen gehören namentlich auch nicht der Steuer unterliegende, im Ausland erbrachte Umsätze (siehe Art. 29 Abs. 3 Satz 2 MWSTV, Art. 38 Abs. 3 Satz 2 MWSTG). Es ist vorliegend zu untersuchen, ob bewiesen ist, dass die Beschwerdeführerin mit dem Flugzeug neben den nicht strittigen Umsätzen die weiteren von ihr geltend gemachten Umsätze erzielt hat. Den Beweis der Verwendung der Eingangsleistungen für steuerbare Ausgangsumsätze gemäss Art. 29 Abs. 1 und 2 MWSTV bzw. Art. 38 Abs. 1 und 2 MWSTG hat - als Voraussetzung des Vorsteuerabzugsrechts - die Beschwerdeführerin zu führen (oben E. 2.1; insbes. Urteil des Bundesgerichts 2A.406/2002 vom 31. März 2004 E. 3.4).</w:t>
      </w:r>
    </w:p>
    <w:p>
      <w:r>
        <w:rPr>
          <w:b/>
        </w:rPr>
        <w:t>E. 3.2</w:t>
      </w:r>
    </w:p>
    <w:p>
      <w:r>
        <w:t>Nicht strittig ist, dass neben den Flügen, die zu den deklarierten und unbestrittenen Umsätzen geführt haben, mit dem Flugzeug weitere Flüge erfolgt sind. Diese sind in der Aufstellung über die Flüge der M. als "PVT" bzw. "Private" bezeichnet (act. 55). "PVT" bedeutet nach Auskunft der M. "Private (Flüge für Eigentümer)" (siehe Telefonnotiz der ESTV in act. 42). Weniger glaubhaft erscheint die Angabe der Beschwerdeführerin, "PVT" bzw. "Private" bedeute u.a. "bei Direktvercharterung". Diese Umschreibung "Private" bzw. "Flüge für Eigentümer" und die Tatsache, dass das Flugzeug gemäss Ziff. 1.1 des Aircraft Management Vertrags mit der M. (act. 14) dem hauptsächlichen Gebrauch durch die Beschwerdeführerin und ihr Personal dienen sollte (nur sekundär sollte es durch die M. an Dritte weiterverchartert werden, Ziff. 1.2, 4.1 des Vertrags), lässt vermuten, dass das Flugzeug bei den als "PVT" bezeichneten Einsätzen für die Beschwerdeführerin bzw. ihr Personal selbst gebraucht worden ist und zwar im Sinne eines nichtgeschäftlichen Gebrauchs (hierzu oben E. 2.2.1). Die Beschwerdeführerin hat im Übrigen nicht geltend gemacht, dass die Flüge zwar für die Gesellschaft selbst ausgeführt worden wären, dass sie aber trotzdem einen unternehmerischen Zweck gehabt hätten; sie behauptet ja gerade, die Flüge stünden im Zusammenhang mit der "direkten Verchartertung" an Dritte und der Erzielung von Umsätzen. Die Annahme der ESTV (bereits im Entscheid vom 31. Oktober 2002), dass das Flugzeug in diesem Rahmen (soweit die Flüge als "Private" bezeichnet wurden) nicht für Ausgangsumsätze nach Art. 29 Abs. 1 und 2 MWSTV verwendet worden ist, ist jedenfalls nachvollziehbar. Im Folgenden ist zu prüfen, ob es der Beschwerdeführerin gelungen ist, ihre eigene Version zu beweisen, wonach die Flüge der Erzielung von zum Vorsteuerabzug berechtigenden Umsätzen dienten.</w:t>
      </w:r>
    </w:p>
    <w:p>
      <w:r>
        <w:rPr>
          <w:b/>
        </w:rPr>
        <w:t>E. 3.3</w:t>
      </w:r>
    </w:p>
    <w:p>
      <w:r>
        <w:t>Hinweise auf die behaupteten zusätzlichen Umsätze von USD 10'360'881 aus "Direktvercharterung" ergeben sich aus drei Arten von Dokumenten, nämlich aus dem Aircraft Lease Contract, aus den Rechnungen der Beschwerdeführerin an die K. und aus der Buchhaltung, namentlich den Erfolgsrechnungen. Die mit der Einsprache beigebrachten Rechnungen (siehe act. 59 sowie Ordner 2 und 3 mit den Geschäftsunterlagen) an die K. enthalten die Umschreibungen "Renting/leasing of an ... aircraft" bzw. "Flights with ... aircraft" (unter Bezugnahme auf das hier fragliche Flugzeug). Weitere Spezifikationen zu den erbrachten Leistungen, wie etwa Datum der Flüge (die Rechnungen betreffen längere Perioden oder ganze Jahre) und zurückgelegte Strecken sind in den Fakturen nicht enthalten. Es wird auch nicht auf den Aircraft Lease Contract verwiesen. Weiter figurieren die geltend gemachten Umsätze in den mit der Einsprache eingereichten Erfolgsrechnungen (bezeichnet als "Bruttoertrag MWST Nullsatz mit VST-Abz", "Produktionsertrag Ber. B [Charter Dritte]" bzw. "Ber. C [Leasing]"; vgl. Ordner 2 und 3, betr. 1998 zudem act. 57). Die unter diesen Positionen verbuchten Beträge stimmen überein mit dem Betrag der vorerwähnten Rechnungen. Diese Buchhaltungsunterlagen sind undatiert und nicht unterzeichnet. Als Drittes wurde, allerdings erst auf explizite Aufforderung der ESTV (act. 44), eine Kopie des unterschriebenen, aber nicht datierten "Aircraft Lease Contracts" ("Leasingvertrag") mit der K., ... eingereicht (act. 52). Er sollte ab 1. März 1998 gelten (Ziff. 3). Als Ziel wird festgehalten, dass die Beschwerdeführerin dem Operator (K.) das Flugzeug "on a dry lease basis" verleast (Ziff. 1, 2.1). Der Operator ist verantwortlich für "operation, maintenance, repairs and execution of all ADs" (Ziff. 2.2.1) und er betreibt das Flugzeug in seinem eigenen Namen (Ziff. 2.5). Der Operator hat der Beschwerdeführerin eine "Leasing Fee" in der Höhe derer Finanzierungskosten ("financing cost") zu bezahlen (Ziff. 6). Dieser Vertrag hat einen ähnlichen Inhalt wie der Aircraft Management Vertrag mit der M. (act. 14). Das Flugzeug wird folglich gleichzeitig der M. und der K. zum Gebrauch überlassen, welche beide als "Operator" in eigener Verantwortung Flüge durchführen sollen. Die beiden Verträge scheinen diesbezüglich widersprüchlich bzw. überschneiden sich. In der Beschwerde wird hierzu erstmals (wohl aufgrund der Feststellung von solchen Widersprüchen im Einspracheentscheid, S. 14) erläutert, dass betreffend die "direkt abgewickelten" Umsätze die M. ebenfalls Operator gewesen sei und das Personal gestellt habe (siehe Beschwerde S. 7, 11, Ziff. 7; Beschwerdebeilage Nr. 9). Dass die K. die Verantwortung für die Durchführung der Flüge an die M. übertragen hat (was gemäss Vertrag möglich wäre, vgl. Ziff. 2.2.1), ist nicht dokumentiert. Angesichts der Überschneidungen in den Aufgaben und Verantwortlichkeiten wäre zu erwarten, dass Zusatzvereinbarungen existieren, die das Verhältnis der beiden Verträge bzw. der beiden "Operators" zueinander regeln. Solche sind aber nicht aktenkundig. Anzumerken ist zudem, dass die Beschwerdeführerin aufgrund des Aircraft Lease Contracts ebenfalls bestimmte Kosten zu übernehmen gehabt hätte (etwa für das Personal, Ziff. 7, weitere Kosten: Ziff. 2.2.2, 2.4), sich eine Fakturierung oder Verrechnung dieser Kosten in den Unterlagen aber nicht findet. Nicht ersichtlich ist schliesslich, dass die aufgrund Ziff. 4.6 des Vertrages mit der M. für den Fall der Direktvercharterung durch die Beschwerdeführerin geschuldete Kommission von 2% an die M. bezahlt worden wäre. Der ESTV ist somit beizupflichten, dass sich angesichts der beiden Verträge Ungereimtheiten ergeben, die gewisse Zweifel aufkommen lassen, ob der nachträglich eingereichte (zudem bloss in Kopie und nicht datiert) Aircraft Lease Contract mit der K. den reellen Gegebenheiten entspricht.</w:t>
      </w:r>
    </w:p>
    <w:p>
      <w:r>
        <w:rPr>
          <w:b/>
        </w:rPr>
        <w:t>E. 3.4</w:t>
      </w:r>
    </w:p>
    <w:p>
      <w:r>
        <w:t>Die Beweiskraft vorerwähnter Dokumente ist abgesehen von den bereits genannten Punkten (nicht unterschriebene bzw. nicht datierte Buchhaltung, nicht datierter Leasingvertrag mit Unstimmigkeiten, wenig detaillierte Rechnungen) zudem aus weiteren Gründen stark gemindert. Die Beschwerdeführerin hat die behaupteten Umsätze in ihren Abrechnungen an die ESTV nicht deklariert, obwohl sie hierzu grundsätzlich verpflichtet gewesen wäre, auch wenn es sich um im Ausland erbrachte, der Steuer nicht unterstehende Leistungen gehandelt hätte (vgl. Ziff. 972 Wegleitung 1997). Nach Angaben der ESTV - an deren Richtigkeit zu zweifeln vorliegend kein Anlass besteht - fand der Inspektor anlässlich der im Voraus angekündigten Kontrolle beim Steuervertreter, A., lediglich Unterlagen zu den unbestrittenen Umsätzen und zu den Vorsteuern und eine Buchhaltung war nicht vorhanden (siehe Aktennotiz der ESTV, act. 31). Die Beschwerdeführerin war aber zur Führung ordnungsgemässer Geschäftsbücher (Art. 47 Abs. 1 MWSTV bzw. Art. 58 Abs. 1 MWSTG) sowie zur Vorlage der Geschäftsbücher und weiterer Belege an die ESTV verpflichtet (Art. 46 f., 49 f. MWSTV bzw. Art. 57 f., 61 f. MWSTG). Weiter hat die ESTV noch vor ihrem Entscheid vom 31. Oktober 2002 mehrmals die Einreichung von Unterlagen und Auskünften zur Art der erbrachten Vermietungs- und Vercharterungsleistungen sowie zu den Vorsteuern verlangt (Schreiben vom 8. Juli und 9. August 2002, act. 33, 35). Mit den Antworten (vom 10. Juli und 28. September 2002, act. 34, 36) verweigerte die Beschwerdeführerin bzw. ihr Vertreter A. geradezu Auskünfte, womit die Auskunftspflicht (Art. 46 MWSTV, Art. 57 Abs. 1 MWSTG) verletzt wurde. Aktenwidrig ist zudem die Angabe der Beschwerdeführerin, die Steuerbarkeit der zusätzlichen Umsätze sei von Beginn weg bestritten worden (siehe Beschwerde S. 8 und 9). Erst nachdem die ESTV mit Entscheid vom 31. Oktober 2002 die Vorsteuern nicht vollumfänglich zum Abzug zugelassen hatte, weil sie der Meinung war, dass die "PVT"-Flüge nichtgeschäftlichen Zwecken dienten, machte die Beschwerdeführerin in der Einsprache erstmals geltend, zusätzliche Umsätze von USD 10'360'881 erzielt zu haben und lieferte erstmals Unterlagen, die Bezug nahmen auf diese Tätigkeit, nämlich die Rechnungen an die K. und die Buchhaltung. Noch später und auf explizites Ersuchen der ESTV wurde der Leasingvertrag eingereicht. Mit diesem Vorgehen hat die Beschwerdeführerin die vorgenannten Obliegenheiten verletzt. Dass sie diese Tätigkeit vor der Einsprache nie erwähnte und auch die ihr von der ESTV wiederholt eingeräumte Gelegenheit versäumte, die fragliche Tätigkeit geltend zu machen, ist auch nicht nachvollziehbar. Im Grunde hätte sie aufgrund der Abhängigkeit des Vorsteuerabzugsrechts von solchen Umsätzen alles Interesse daran gehabt, die ESTV über diese Umsätze - sofern tatsächlich vorhanden - zu orientieren. Angesichts des nicht nachvollziehbaren Verhaltens der Beschwerdeführerin bei der Geltendmachung der "zusätzlichen" Umsätze und der Tatsache, dass die Umsätze bis zur Einsprache aus keinem der ESTV zur Verfügung stehenden Dokument hervorgingen, liegt der von der ESTV gezogene Schluss nahe, dass gewisse mit der Einsprache und noch später eingereichte Unterlagen (Buchhaltung, Rechnungen, Lizenzvertrag) nachträglich erstellt worden sind, was ihre Beweiskraft zumindest stark herabsetzen würde (hierzu etwa BGE 133 II 153 E. 7.2; Urteile des Bundesgerichts 2A.546/2003 vom 14. März 2005, E. 2.6; vom 12. November 1998, ASA 68 S. 660 E. 3f; Entscheid der SRK vom 25. März 2005, VPB 66.97 E. 3b, 6b). Nach dem Gesagten geht es vorliegend zudem nicht um einen blossen Fall von Dokumenten, die zwar nachträglich erstellt worden sind, aber allenfalls wahre Tatsachen wiedergeben, sondern es bestehen ernstzunehmende Hinweise, dass der Aussagegehalt der Dokumente nicht den tatsächlichen Gegebenheiten entspricht, dass nämlich - wie die ESTV geltend macht - die später ins Spiel gebrachten Umsätze gar nicht existierten. Ob dem wirklich so ist, braucht angesichts der Beweislastverteilung (E. 2.2.1, s.a. sogleich E. 3.6) nicht entschieden zu werden.</w:t>
      </w:r>
    </w:p>
    <w:p>
      <w:r>
        <w:rPr>
          <w:b/>
        </w:rPr>
        <w:t>E. 3.5</w:t>
      </w:r>
    </w:p>
    <w:p>
      <w:r>
        <w:t>Weiter findet sich kein einziges von dritter Seite herrührendes Dokument, welches zuverlässig Aufschluss über die behaupteten Umsätze geben würde (der Leasingvertrag kann hierzu nach dem Gesagten nicht gezählt werden). Sodann sind keinerlei Belege über die tatsächliche Zahlung der an die K. fakturierten Beträge aktenkundig, dies trotz der expliziten Aufforderung der ESTV zur Einreichung solcher Zahlungsbelege (Schreiben vom 13. Januar 2004, act. 44). Die Behauptungen in der Beschwerde (S. 7), die von der ESTV mit Schreiben vom 13. Januar 2003 geforderten Unterlagen seien alle eingereicht worden und die Zahlungsbelege befänden sich in den Geschäftsbüchern (2 Ordner), sind aktenwidrig. Es existieren weder Gutschriftsanzeigen der Bank noch Kontobewegungen auf den Bankauszügen in Höhe der an die K. fakturierten Beträge, was unerklärlich ist, da die Unterlagen betreffend die Konten bei der Bank ... mit der Einsprache eingereicht worden sind (zwei Ordner) und davon auszugehen ist, dass diese vollständig sind. Es ist folglich nicht bewiesen, dass die Beschwerdeführerin für die von ihr behaupteten Umsätze aus "direkter Vercharterung" Entgelte vereinnahmt hat. Hierzu ist zu präzisieren, dass der tatsächliche Zufluss eines Entgelts für Ausgangsleistungen zwar nicht Voraussetzung des Abzugs von auf den Eingangsleistungen lastenden Vorsteuern darstellt. Ist aber wie vorliegend im Rahmen der Beweiswürdigung zu eruieren, ob Ausgangsleistungen überhaupt erbracht bzw. Ausgangsumsätze erzielt worden sind, ist die Tatsache, dass kein Entgelt vereinnahmt worden ist, zumindest als Indiz dafür zu werten, dass solche Umsätze nicht existierten. Den eingereichten Gutschriftsanzeigen der E., F., G., H. (act. 52, 60) kommt im Übrigen von vornherein keine Aussagekraft zu, da Zahlungsgrund bzw. zugrundeliegende Leistungen nicht ersichtlich sind. Weiter bestehen auch keine Anhaltspunkte, dass die Flüge im Sinn der behaupteten "direkten Vercharterung" an die K. oder die anderen Gesellschaften stattgefunden hätten. Die tatsächliche Erbringung der angeblichen Leistungen ist in keiner Weise belegt.</w:t>
      </w:r>
    </w:p>
    <w:p>
      <w:r>
        <w:rPr>
          <w:b/>
        </w:rPr>
        <w:t>E. 3.6</w:t>
      </w:r>
    </w:p>
    <w:p>
      <w:r>
        <w:t>Zusammenfassend ist einerseits die Beweiskraft der Dokumente, aus denen die behaupteten Umsätze überhaupt ersichtlich sind, stark herabgesetzt und es ist zweifelhaft, ob diese Unterlagen die tatsächlichen Verhältnisse wiedergeben (E. 3.3., 3.4), womit sie die behaupteten Umsätze nicht zu beweisen vermögen. Andererseits ist nicht belegt, dass Flüge der behaupteten Art tatsächlich ausgeführt wurden (E. 3.5). Ebensowenig bestehen Nachweise, dass die der K. in Rechnung gestellten Beträge beglichen worden und der Beschwerdeführerin Einnahmen der behaupteten Art zugeflossen wären (E. 3.5). Die als "direkte Vercharterung" des Flugzeugs umschriebene "zusätzliche" Geschäftstätigkeit und die geltend gemachten Umsätze wurden nicht bewiesen. Folglich ist mit der ESTV davon auszugehen, dass die Beschwerdeführerin das Flugzeug auch für nichtgeschäftliche, unternehmensfremde Zwecke verwendet hat und die geltend gemachten Vorsteuern nur zum Teil für steuerbare Ausgangsleistungen im Sinn von Art. 29 Abs. 2 MWSTV bzw. Art. 38 Abs. 2 MWSTG verwendet worden sind (s.a. E. 3.2). Der Vorsteuerabzug ist im Rahmen der nichtgeschäftlichen Verwendung der Eingangsleistungen zu verweigern (siehe E. 2.2.1). Es liegt eine gemischte Verwendung vor (vgl. auch E. 2.2.2).</w:t>
      </w:r>
    </w:p>
    <w:p>
      <w:r>
        <w:rPr>
          <w:b/>
        </w:rPr>
        <w:t>E. 3.7</w:t>
      </w:r>
    </w:p>
    <w:p>
      <w:r>
        <w:t>Der Vorsteuerabzug war folglich gemäss Art. 32 Abs. 1 MWSTV bzw. Art. 41 Abs. 1 MWSTG nach dem Verhältnis der Verwendung zu kürzen. Bekannt sind vorliegend nur die Höhe der geltend gemachten Vorsteuern und die Höhe der steuerbaren Umsätze, nicht aber der wertmässige Umfang der Verwendung des Flugzeugs für nichtgeschäftliche Zwecke. Damit war die ESTV gezwungen, eine Schätzung vorzunehmen, inwieweit die vorsteuerbelasteten Aufwendungen für steuerbare Ausgangsleistungen und inwieweit für nicht zum Abzug berechtigende Zwecke verwendet wurden. Nach der Beweislastregel obliegt es der Beschwerdeführerin, steuermindernde Tatsachen rechtsgenüglich darzulegen (oben E. 2.1). Dieser Grundsatz kommt auch zum Tragen, wenn die ESTV eine Vorsteuerabzugskürzung vorzunehmen hat (vgl. Entscheid der SRK vom 14. Januar 2005, VPB 69.88 E. 3c/bb). Dass die von der ESTV berechnete Kürzung nicht sachgerecht war und die ESTV hierbei ihren Ermessensspielraum überschritten hat, hätte die Beschwerdeführerin zu beweisen. Sie hat sich zur Art der Schätzung bzw. der Vorsteuerkürzung indessen gar nicht geäussert, keine eigene Berechnungsweise vorgeschlagen und das Vorgehen der ESTV mit keinem Wort beanstandet. Es ist denn auch auch nicht ersichtlich, inwiefern die ESTV bei ihrer Vorgehensweise zur Ermittlung des Anteils der zum Abzug berechtigten Vorsteuern (hierzu ausführlich Einspracheentscheid S. 17 f. und Vernehmlassung S. 21 f.) angesichts der spärlichen Berechnungsgrundlagen ihren Ermessensspielraum überschritten haben sollte. Die Art und Weise der Vorsteuerkorrektur kann folglich nicht beanstandet werden und die Steuerforderung gemäss Ziff. 2 des Einspracheentscheides der ESTV ist zu bestätigen. Der Antrag der Beschwerdeführerin auf Auszahlung der gestützt auf Art. 59 Abs. 2 (letzter Satz) MWSTV geleisteten Sicherheit ist folglich ebenfalls unbegründet. Die Beschwerde ist insgesamt abzuweisen.</w:t>
      </w:r>
    </w:p>
    <w:p>
      <w:r>
        <w:rPr>
          <w:b/>
        </w:rPr>
        <w:t>E. 4</w:t>
      </w:r>
    </w:p>
    <w:p>
      <w:r>
        <w:t>Nach dem Gesagten ist die Beschwerde abzuweisen. Die Verfahrenskosten in Höhe von Fr. 7'000.-- sind der Beschwerdeführerin aufzuerlegen (Art. 63 Abs. 1 VwVG) und mit dem geleisteten Kostenvorschuss in gleicher Höhe zu verrechnen. Bei diesem Verfahrensausgang bleibt für die Ausrichtung einer Parteientschädigung kein Raum (Art. 64 Abs. 1 VwVG und Art. 7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