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A-1366/2006 vom 28. Februar 2007</w:t>
      </w:r>
    </w:p>
    <w:p>
      <w:r>
        <w:t>Bundesverwaltungsgericht, 2007-02-28, DE</w:t>
      </w:r>
    </w:p>
    <w:p>
      <w:r>
        <w:rPr>
          <w:b/>
        </w:rPr>
        <w:t xml:space="preserve">Quelle: </w:t>
      </w:r>
      <w:r>
        <w:t>https://mcp.opencaselaw.ch/entscheid/bvger_A-1366_2006</w:t>
      </w:r>
    </w:p>
    <w:p>
      <w:r>
        <w:t>FR: TAF A-1366/2006 du 28 février 2007</w:t>
      </w:r>
    </w:p>
    <w:p>
      <w:r>
        <w:t>IT: TAF A-1366/2006 del 28 febbraio 2007</w:t>
      </w:r>
    </w:p>
    <w:p>
      <w:pPr>
        <w:pStyle w:val="Heading2"/>
      </w:pPr>
      <w:r>
        <w:t>Regeste</w:t>
      </w:r>
    </w:p>
    <w:p>
      <w:r>
        <w:t>Mehrwertsteuer</w:t>
      </w:r>
    </w:p>
    <w:p>
      <w:pPr>
        <w:pStyle w:val="Heading2"/>
      </w:pPr>
      <w:r>
        <w:t>Erwägungen</w:t>
      </w:r>
    </w:p>
    <w:p>
      <w:r>
        <w:rPr>
          <w:b/>
        </w:rPr>
        <w:t>E. 1</w:t>
      </w:r>
    </w:p>
    <w:p>
      <w:r>
        <w:t>Bis zum 31. Dezember 2006 unterlagen Einspracheentscheide der ESTV der Beschwerde an die SRK. Das Bundesverwaltungsgericht (BVGer) übernimmt, sofern es zuständig ist, die am 1. Januar 2007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BVGer ist zur Behandlung der Beschwerde sachlich wie funktionell zuständig (Art. 31 und 33 Bst. d VGG in Verbindung mit Art. 53 der alten Verordnung vom 22. Juni 1994 über die Mehrwertsteuer [aMWSTV von 1994, AS 1994 1464]). Der Beschwerdeführer hat den Einspracheentscheid vom 1. Juni 2004 frist- und nach Verbesserungsaufforderung auch formgerecht angefochten (Art. 50 und 52 VwVG). Er ist durch die angefochtene Verfügung beschwert und zur Anfechtung berechtigt (Art. 48 VwVG). Auf die Beschwerde ist daher einzutreten. Der zu beurteilende Sachverhalt verwirklichte sich in den Jahren 1995 bis 1999. Die Bestimmungen der alten Mehrwertsteuerverordnung bleiben im vorliegenden Fall anwendbar (Art. 93 Abs. 1 des Bundesgesetzes vom 2. September 1999 über die Mehrwertsteuer [MWSTG, SR 641.20]).</w:t>
      </w:r>
    </w:p>
    <w:p>
      <w:r>
        <w:rPr>
          <w:b/>
        </w:rPr>
        <w:t>E. 2.1</w:t>
      </w:r>
    </w:p>
    <w:p>
      <w:r>
        <w:t>Erwachsen dem Steuerpflichtigen aus der genauen Feststellung einzelner für die Bemessung der Steuer wesentlicher Tatsachen übermässige Umtriebe, so kann die ESTV unter den von ihr festzusetzenden Bedingungen Erleichterungen gewähren oder eine annäherungsweise Ermittlung der Steuer zulassen (Art. 47 Abs. 3 MWSTV). Die Verwaltung hat von dieser Kompetenz Gebrauch gemacht und die Möglichkeit der vereinfachten Abrechnung mittels Saldosteuersätzen ausführlich geregelt (vgl. soweit hier interessierend: Broschüre über die Saldosteuersätze bei der Mehrwertsteuer vom Mai 1995 [gültig bis 31. Dezember 1996] bzw. jene vom November 1996 [gültig ab 1. Januar 1997]; zum Wesen und zur Rechtmässigkeit der Saldosatzbesteuerung vgl. etwa Entscheide der SRK vom 24. Juni 1999, veröffentlicht in Verwaltungspraxis der Bundesbehörden [VPB] 64.111; vom 22. Juli 2000, veröffentlicht in VPB 65.22).</w:t>
      </w:r>
    </w:p>
    <w:p>
      <w:r>
        <w:rPr>
          <w:b/>
        </w:rPr>
        <w:t>E. 2.2</w:t>
      </w:r>
    </w:p>
    <w:p>
      <w:r>
        <w:t>Gemäss Rechtsprechung ist die EA keine Verfügung im Sinne von Art. 5 VwVG. Sie kann zugunsten oder zuungunsten des Steuerpflichtigen geändert werden, soweit sie nicht Gegenstand eines rechtskräftigen Entscheides bildet und die Verjährung nicht eingetreten ist (Entscheid der SRK vom 17. Juli 2001, veröffentlicht in VPB 66.43 E. 3a, mit Hinweisen; Urteile des Bundesgerichts vom 18. Februar 2004 [2A.339/2003] E. 4.2, mit Hinweisen; vom 9. August 2002 [2A.75/2002] E. 5.2 und 5.3).</w:t>
      </w:r>
    </w:p>
    <w:p>
      <w:r>
        <w:rPr>
          <w:b/>
        </w:rPr>
        <w:t>E. 2.3</w:t>
      </w:r>
    </w:p>
    <w:p>
      <w:r>
        <w:t>Das in Art. 9 der Bundesverfassung der Schweizerischen Eidgenossenschaft vom 18. April 1999 (BV, SR 101) enthaltene Gebot von Treu und Glauben gilt nach Rechtsprechung und Lehre auch im Verwaltungsrecht und gibt dem Bürger einen Anspruch auf Schutz des berechtigten Vertrauens, das er in behördliche Zusicherungen und sonstiges, bestimmte Erwartungen begründendes Verhalten der Behörden setzt.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(BGE 129 I 170, 126 II 387, 125 I 274; Arthur Haefliger, Alle Schweizer sind vor dem Gesetze gleich, Bern 1985, S. 220 f.; Häfelin/Müller/Uhlmann, Grundriss des Allgemeinen Verwaltungsrechts, Zürich 2006, Rz. 622 ff.; Imboden/Rhinow/Krähenmann, Schweizerische Verwaltungsrechtsprechung, Basel/Frankfurt am Main 1990, Nr. 74 und Nr. 75 Bd. III/b/2; Weber/Dürler, Vertrauensschutz im Öffentlichen Recht, Basel/Frankfurt am Main 1983, S. 79 ff., 128 ff.).</w:t>
      </w:r>
    </w:p>
    <w:p>
      <w:r>
        <w:rPr>
          <w:b/>
        </w:rPr>
        <w:t>E. 3</w:t>
      </w:r>
    </w:p>
    <w:p>
      <w:r>
        <w:t>Im vorliegenden Fall ist unbestritten, dass der Beschwerdeführer anlässlich der beiden Rechtsgeschäfte mit A._______ und B._______ als Generalunternehmer aufgetreten ist. Versehentlich hat die ESTV diese Tätigkeit anlässlich der Nachforderung gemäss EA Nr. ... als "reine Architekturleistung" qualifiziert und deshalb die Steuer nur nach Massgabe des geschätzten Anteils von 10% des Gesamtentgelts (A._______: Fr. 520'000.--; B._______: Fr. 380'000.--) berechnet. Mit EA Nr. ... korrigierte die Verwaltung ihr Versehen und bemass die Steuer nach dem gesamten Entgelt für die Tätigkeit als Generalunternehmer. Der Beschwerdeführer hält zunächst dafür, er habe die Nachforderung gemäss der ersten EA akzeptiert und beglichen. Die ESTV sei an die beiderseits unterzeichnete EA gebunden, weshalb es willkürlich sei, wenn sie einige Monate später für die gleiche Sache einen höheren Steuerbetrag einfordere. Entgegen der Auffassung des Beschwerdeführers konnte in casu die ESTV mit EA Nr. ... ohne Weiteres auf ihre erste Nachforderung zurückkommen und diese korrigieren. Denn die Forderung gemäss EA Nr. ... (bei welcher es sich zudem nicht um eine Verfügung handelt) war weder rechtskräftig festgelegt noch verjährt (E. 2.2). Der Beschwerdeführer kann darauf hingewiesen werden, dass die erste EA gleicherweise im Nachhinein zu seinen Gunsten hätte geändert werden können, wären denn die Voraussetzungen hierzu gegeben gewesen. Der Umstand, dass er die erste EA akzeptiert hat, ändert daran nichts.</w:t>
      </w:r>
    </w:p>
    <w:p>
      <w:r>
        <w:rPr>
          <w:b/>
        </w:rPr>
        <w:t>E. 3.1</w:t>
      </w:r>
    </w:p>
    <w:p>
      <w:r>
        <w:t>Der Beschwerdeführer beruft sich ferner auf den Grundsatz von Treu und Glauben und bringt vor, die beiden Verträge über seine Leistungen als Generalunternehmer seien bereits anlässlich der Steuerkontrolle vorgelegen. Dennoch habe die ESTV die entsprechende Tätigkeit als Architekturleistung qualifiziert. Sein Vertrauen auf diese Falschauskunft sei berechtigt gewesen und zu schützen. Die Voraussetzungen des Vertrauensschutzes seien allesamt erfüllt. Mit dem Beschwerdeführer ist einig zu gehen, dass die erste EA bzw. deren Begleitschreiben oder die anlässlich der Kontrolle dem Steuerpflichtigen erteilten Weisungen grundsätzlich durchaus Vertrauensgrundlage bilden können. Entgegen der Auffassung der Vorinstanz genügt nämlich ein Verhalten der Behörde, das bei der betroffenen Privatperson bestimmte Erwartungen auslöst (Häfelin/Müller/Uhlmann, a.a.O., Rz. 631). Nicht erforderlich ist namentlich eine Verfügung im formellen Sinn, wie die ESTV dafür hält (Einspracheentscheid, E. 4.2). Dennoch kann sich der Beschwerdeführer nicht erfolgreich auf den Vertrauensschutz berufen. Seinen Nachteil erblickt er im Umstand, dass er die nachgeforderte Steuer nicht mehr auf seine Kunden überwälzen könne. Er verkennt, dass er im Vertrauen auf die Richtigkeit der steuerlichen Beurteilung seiner Tätigkeit durch die ESTV Dispositionen getroffen oder unterlassen haben müsste, die er nicht oder jedenfalls nicht ohne Schaden rückgängig machen oder nachholen könnte. Das Fehlverhalten der Verwaltung müsste folglich für seine nachteilige Disposition kausal gewesen sein (Häfelin/Müller/Uhlmann, a.a.O., Rz. 686 f.). An dieser Kausalität mangelt es im vorliegenden Fall. Weder weist der Beschwerdeführer nach noch ergibt sich aus den Akten, dass er nach der ersten EA vom 7. Februar 2000 bzw. nach der fehlerhaften Weisung durch die ESTV die für ihn nachteiligen Dispositionen getroffen oder unterlassen hatte. Vielmehr hat er bereits vorher, nämlich anlässlich der seinerzeitigen Rechnungsstellung für die fraglichen Leistungen als Generalunternehmer, unterlassen, die Steuer auf die Leistungsempfänger zu überwälzen. Insofern ist das später eingetretene Versehen der ESTV unter keinen Umständen kausal für den behaupteten Nachteil des Beschwerdeführers. Bei diesem Ergebnis erübrigt es sich vorliegend, die weiteren kumulativen Voraussetzungen des Vertrauensschutzes zu prüfen.</w:t>
      </w:r>
    </w:p>
    <w:p>
      <w:r>
        <w:rPr>
          <w:b/>
        </w:rPr>
        <w:t>E. 4</w:t>
      </w:r>
    </w:p>
    <w:p>
      <w:r>
        <w:t>Nach dem Gesagten ist die Beschwerde abzuweisen und der Einspracheentscheid der ESTV vom 1. Juni 2004 im Sinne der Erwägungen zu bestätigen. Die Verfahrenskosten in Höhe von Fr. 1'500.-- werden dem Beschwerdeführer auferlegt (Art. 63 Abs. 1 VwVG). Eine Parteientschädigung an den Beschwerdeführer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