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A-1358/2006 vom 1. Februar 2007</w:t>
      </w:r>
    </w:p>
    <w:p>
      <w:r>
        <w:t>Bundesverwaltungsgericht, 2007-02-01, DE</w:t>
      </w:r>
    </w:p>
    <w:p>
      <w:r>
        <w:rPr>
          <w:b/>
        </w:rPr>
        <w:t xml:space="preserve">Quelle: </w:t>
      </w:r>
      <w:r>
        <w:t>https://mcp.opencaselaw.ch/entscheid/bvger_A-1358_2006</w:t>
      </w:r>
    </w:p>
    <w:p>
      <w:r>
        <w:t>FR: TAF A-1358/2006 du 1 février 2007</w:t>
      </w:r>
    </w:p>
    <w:p>
      <w:r>
        <w:t>IT: TAF A-1358/2006 del 1 febbraio 2007</w:t>
      </w:r>
    </w:p>
    <w:p>
      <w:pPr>
        <w:pStyle w:val="Heading2"/>
      </w:pPr>
      <w:r>
        <w:t>Regeste</w:t>
      </w:r>
    </w:p>
    <w:p>
      <w:r>
        <w:t>Staat ? Volk ? Behörden</w:t>
      </w:r>
    </w:p>
    <w:p>
      <w:pPr>
        <w:pStyle w:val="Heading2"/>
      </w:pPr>
      <w:r>
        <w:t>Erwägungen</w:t>
      </w:r>
    </w:p>
    <w:p>
      <w:r>
        <w:rPr>
          <w:b/>
        </w:rPr>
        <w:t>E. 1.1</w:t>
      </w:r>
    </w:p>
    <w:p>
      <w:r>
        <w:t>Bis zum 31. Dezember 2006 unterlagen Einspracheentscheide der ESTV der Beschwerde an die SRK. Das Bundesverwaltungsgericht (BVGer) übernimmt, sofern es zuständig ist, die am 1. Januar 2007 bei der SRK hängigen Rechtsmittel. Die Beurteilung erfolgt nach neuem Verfahrensrecht (Art. 53 Abs. 2 des Bundesgesetzes über das Bundesverwaltungsgericht [Verwaltungsgerichtsgesetz, VGG, SR 173.32]). Soweit das VGG nichts anderes bestimmt, richtet sich gemäss Art. 37 VGG das Verfahren nach dem Bundesgesetz über das Verwaltungsverfahren (VwVG, SR 172.021). Das BVGer ist zur Behandlung der Beschwerde sachlich wie funktionell zuständig (Art. 31 und 33 Bst. e VGG in Verbindung mit Art. 53 der alten Verordnung über die Mehrwertsteuer [MWSTV, AS 1994 1464]). Die Beschwerdeführerin hat den Einspracheentscheid vom 15. April 2004 frist- und formgerecht angefochten (Art. 50 und 52 VwVG). Sie ist durch die angefochtene Verfügung beschwert und zur Anfechtung berechtigt (Art. 48 VwVG). Auf die Beschwerde ist daher einzutreten. Der zu beurteilende Sachverhalt verwirklichte sich in den Jahren 1995 bis 2000. Die Bestimmungen der alten Mehrwertsteuerverordnung bleiben im vorliegenden Fall anwendbar (Art. 93 Abs. 1 des Bundesgesetzes über die Mehrwertsteuer [MWSTG, SR 641.20]).</w:t>
      </w:r>
    </w:p>
    <w:p>
      <w:r>
        <w:rPr>
          <w:b/>
        </w:rPr>
        <w:t>E. 1.2</w:t>
      </w:r>
    </w:p>
    <w:p>
      <w:r>
        <w:t>Die Beschwerdeführerin räumt nunmehr ausdrücklich ein, ihre Sonderfahrten seien nicht als steuerbefreite Beförderungsleistungen, sondern als im Inland steuerbare Lieferungen (Charter) zu qualifizieren. Sie hält indes dafür, die Steuerforderung und der entsprechende Verzugszins seien aufgrund des Vertrauensschutzes nicht geschuldet; ihr Vertrauen in die Falschauskunft der ESTV vom 4. August 1995 sei zu schützen. Der Streitgegenstand beschränkt sich auf diese Frage. Um abschliessend beurteilen zu können, ob die Vorinstanz in der Tat eine Falschauskunft erteilte, ist vorab dennoch kurz zu prüfen, ob die fraglichen Sonderfahrten mit Recht als steuerbare Lieferungen (Charter) anstelle von steuerbefreiten Beförderungsleistungen qualifiziert werden.</w:t>
      </w:r>
    </w:p>
    <w:p>
      <w:r>
        <w:rPr>
          <w:b/>
        </w:rPr>
        <w:t>E. 2.1</w:t>
      </w:r>
    </w:p>
    <w:p>
      <w:r>
        <w:t>Von einer Vercharterung kann analog Art. 94 Abs. 1 des Bundesgesetzes über die Schifffahrt unter Schweizerflagge (SR 747.30) dann gesprochen werden, wenn ein Schiff für die Beförderung von Personen ganz oder teilweise für eine bestimmte Zeit oder für eine oder mehrere Seereisen zur Verfügung gestellt wird. Wesentlich ist das Zurverfügungstellen des Schiffes für eine bestimmte Zeit (Zeitcharter) oder für eine oder mehrere Reisen (Reisecharter). Darin unterscheidet sich der Chartervertrag vom Transport- oder Beförderungsvertrag (BGE 115 II 108 E. 4). Vom gleichen Begriffsverständnis geht das Bundesgericht bei der mehrwertsteuerlichen Behandlung des Luftcharters aus, wobei es zwischen Eigen- und Fremdcharter unterscheidet (Urteile des Bundesgerichts vom 23. Januar 2001, publiziert in Archiv für Schweizerisches Abgaberecht [ASA] 71 564; und vom 27. Februar 2001, publiziert in Revue de droit administrativ et de droit fiscal [RDAF] 2001 II 59). Typisch für den Fremdcharter ist das Dreiparteienverhältnis. Danach liegt ein Chartervertrag vor, wenn der Flugzeugführer (Vercharterer) das Flugzeug oder einen Teil davon einem Dritten (Charterer) zur Verfügung stellt, der damit im Rahmen eines zweiten Umsatzes seine eigenen Passagiere befördert. Nicht als Chartervertrag, sondern als Beförderungsvertrag gilt demgegenüber in der Regel der so genannte Eigencharter (own use charter), weil daran nur zwei Parteien beteiligt sind. Ein Chartervertrag liegt indessen auch im Zweiparteienverhältnis vor, wenn nicht die Beförderung, sondern der Einsatz des Transportmittels für andere Zwecke im Vordergrund steht, beispielsweise für spezielle Einsätze (zum Ganzen: Urteil des Bundesgerichts vom 24. April 2001 [2A.519/1998], E. 4b).</w:t>
      </w:r>
    </w:p>
    <w:p>
      <w:r>
        <w:rPr>
          <w:b/>
        </w:rPr>
        <w:t>E. 2.2</w:t>
      </w:r>
    </w:p>
    <w:p>
      <w:r>
        <w:t>Solche speziellen Einsätze stellen die vorliegenden Sonderfahrten zweifelsohne dar. Im Vordergrund steht nicht die Beförderung von A nach B, sondern die Überlassung der Schiffe für Familien-, Vereins-, Firmen- und Seenachtsfeste, Silvesterpartys, Weindegustationen und vieles mehr. Mehrwertsteuerlich bewirkt diese Vercharterung im Inland eine Lieferung, denn die Schiffe werden zum Gebrauch überlassen im Sinne von Art. 5 Abs. 2 Bst. b MWSTV; dies unabhängig davon, dass die Fahrten allenfalls teilweise in ausländischen Gewässern erfolgen, denn die Beschwerdeführerin ist eine Gesellschaft mit Sitz im Inland, die schweizerisch verzollte Schiffe verwendet, weshalb die Lieferung im Inland steuerbar ist (Art. 11 Bst. a MWSTV; vgl. ASA 71 566; Urteil des Bundesgerichts vom 24. April 2001, a.a.O., E. 4c).</w:t>
      </w:r>
    </w:p>
    <w:p>
      <w:r>
        <w:rPr>
          <w:b/>
        </w:rPr>
        <w:t>E. 3.1</w:t>
      </w:r>
    </w:p>
    <w:p>
      <w:r>
        <w:t>Das in Art. 9 der Bundesverfassung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129 I 170, 126 II 387, 125 I 274; Arthur Haefliger, Alle Schweizer sind vor dem Gesetze gleich, Bern 1985, S. 220 f.; Häfelin/Müller/Uhlmann, Grundriss des Allgemeinen Verwaltungsrechts, Zürich 2006, Rz. 622 ff.; Imboden/Rhinow/Krähenmann, Schweizerische Verwaltungsrechtsprechung, Basel/Frankfurt am Main 1990, Nr. 74 und Nr. 75 B III/b/2; Weber/Dürler, Vertrauensschutz im Öffentlichen Recht, Basel/Frankfurt am Main 1983, S. 79 ff., 128 ff.).</w:t>
      </w:r>
    </w:p>
    <w:p>
      <w:r>
        <w:rPr>
          <w:b/>
        </w:rPr>
        <w:t>E. 3.2</w:t>
      </w:r>
    </w:p>
    <w:p>
      <w:r>
        <w:t>Die ESTV gab der Beschwerdeführerin am 4. August 1995 schriftlich bekannt, Beförderungsleistungen auf ausländischen Strecken seien mit Anspruch auf Vorsteuerabzug befreit. Demgegenüber unterlägen andere Dienstleistungen und die Lieferung von Gegenständen auf Schiffen, die im Inland registriert sind oder deren Betreiber im Inland eine Betriebsstätte haben, der schweizerischen Mehrwertsteuer. Für die Steuerpflichtige habe dies zur Folge, dass sie künftig auf den Fahrpreisen keine Mehrwertsteuer abrechnen müsse. Alle übrigen Leistungen (Gastgewerbe, Verkauf, Vermietung etc.) seien jedoch steuerbar. Mit diesem Schreiben erteilte die Verwaltung der Beschwerdeführerin keine Falschauskunft; die fraglichen Sonderfahrten fallen unter die genannten "alle übrigen Leistungen", mithin unter die "Vermietung". Die Voraussetzungen des Vertrauensschutzes im vorliegenden Fall sind folglich von Vornherein nicht gegeben.</w:t>
      </w:r>
    </w:p>
    <w:p>
      <w:r>
        <w:rPr>
          <w:b/>
        </w:rPr>
        <w:t>E. 3.3</w:t>
      </w:r>
    </w:p>
    <w:p>
      <w:r>
        <w:t>Was die Beschwerdeführerin vorbringt, vermag nicht durchzudringen. Sie hält dafür, die ESTV hätte sie auf die unterschiedliche mehrwertsteuerliche Qualifizierung von Personenbeförderungen im Rahmen von Kursfahrten einerseits und von Sonderfahrten andererseits hinweisen müssen. Dabei verkennt die Beschwerdeführerin, dass die ESTV hiezu keinerlei Veranlassung hatte. Genau so wenig wie die Antwort der ESTV bezog sich nämlich die Anfrage der Beschwerdeführerin vom 24. Juli 1995 ausdrücklich auf die fraglichen Sonderfahrten. Die Beschwerdeführerin hat der Anfrage auch keine Unterlagen beigelegt, aus welchen die ESTV in guten Treuen auf die Existenz, das Wesen und die Besonderheiten der Sonderfahrten hätte schliessen müssen. Die Antwort der ESTV war gleichmassen allgemein formuliert wie die Anfrage der Beschwerdeführerin (" ... erbringt unser Unternehmen ... sämtliche Dienstleistungen auf dem internationalen Gewässer ...; ... sämtliche auf und mit unseren drei Schiffen erbrachten Leistungen, Personenbeförderung und Gastronomie ..."). Es besteht keinerlei Pflicht der ESTV, bei Auskünften den Sachverhalt nach Eventualitäten zu durchforschen. Ebenso wenig unterliegt die Verwaltung im Mehrwertsteuerrecht, welches durch das Selbstveranlagungsprinzip gekennzeichnet ist, einer allgemeinen Informations-, Aufklärungs- oder gar Beratungspflicht gegenüber dem Steuerpflichtigen (Entscheid der SRK vom 6. Oktober 2003, publiziert in Verwaltungspraxis der Bundesbehörden [VPB] 68.57 E. 7c; vgl. Entscheid der Eidgenössischen Zollrekurskommission vom 2. Oktober 1995, publiziert in ASA 65 412). Das Gebot des staatlichen Handelns nach Treu und Glauben kann selbstverständlich im konkreten Einzelfall zwar erfordern, dass die ESTV den Steuerpflichtigen auf - diesem nicht bewusst werdende - steuerliche Folgen von Sachverhalten hinweist. Hierzu bedarf es aber hinreichender Kenntnis der Verwaltung über diese konkreten Sachverhalte, was in casu - wie gezeigt - nicht der Fall ist. Die Beschwerdeführerin macht ferner geltend, entgegen der Auffassung der Vorinstanz habe deren Antwort nicht nur Personenbeförderungen, sondern auch Sonderfahrten betroffen. Es ist ihr insoweit beizupflichten, als dass die Auskunft der ESTV implizite auch die fraglichen Sonderfahrten umfasst. Massgebend bleibt indes, dass die Verwaltung diesbezüglich keine Falschauskunft erteilte (E. 3.2). Überdies widerspricht sich die Beschwerdeführerin mit diesem Argument. Denn an anderer Stelle wirft sie der ESTV vor, deren Auskunft sei unvollständig und damit falsch, weil damit die Sonderfahrten nicht abgedeckt seien. Dem Einwand der Beschwerdeführerin, sie habe aufgrund der Auskunft der Vorinstanz nicht erkennen können, dass nur Personenbeförderungen steuerbefreit zu behandeln seien, ist zu entgegnen, dass die Verwaltung einzig mit Bezug auf die Beförderungsleistungen auf ausländischen Strecken ausdrücklich die Steuerbefreiung einräumte. Die weiteren Voraussetzungen des Vertrauensschutzes brauchen unter diesen Umständen nicht geprüft zu werden. Damit sind auch die Verzugszinsen geschuldet. Gegen deren rechnerische Ermittlung erhebt die Beschwerdeführerin keine Einwände.</w:t>
      </w:r>
    </w:p>
    <w:p>
      <w:r>
        <w:rPr>
          <w:b/>
        </w:rPr>
        <w:t>E. 4</w:t>
      </w:r>
    </w:p>
    <w:p>
      <w:r>
        <w:t>Nach dem Gesagten ist die Beschwerde abzuweisen und der Einspracheentscheid der ESTV vom 15. April 2004 zu bestätigen. Die Verfahrenskosten in Höhe von Fr. 3'000.-- sind der Beschwerdeführerin aufzuerlegen (Art. 63 Abs. 1 VwVG) und mit dem einbezahlten Kostenvorschuss vom Fr. 3'000.--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