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A-1356/2006 vom 21. Mai 2007</w:t>
      </w:r>
    </w:p>
    <w:p>
      <w:r>
        <w:t>Bundesverwaltungsgericht, 2007-05-21, DE</w:t>
      </w:r>
    </w:p>
    <w:p>
      <w:r>
        <w:rPr>
          <w:b/>
        </w:rPr>
        <w:t xml:space="preserve">Quelle: </w:t>
      </w:r>
      <w:r>
        <w:t>https://mcp.opencaselaw.ch/entscheid/bvger_A-1356_2006</w:t>
      </w:r>
    </w:p>
    <w:p>
      <w:r>
        <w:t>FR: TAF A-1356/2006 du 21 mai 2007</w:t>
      </w:r>
    </w:p>
    <w:p>
      <w:r>
        <w:t>IT: TAF A-1356/2006 del 21 maggio 2007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am 1. Januar 2007 bei der SRK hängigen Beschwerden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(MWSTGV, SR 641.201) in Kraft getreten. Der zu beurteilende Sachverhalt hat sich indessen in den Jahren 1998 bis 2000 zugetragen. Auf die vorliegende Beschwerde ist damit grundsätzlich noch altes Recht anwendbar (Art. 93 und 94 MWSTG).</w:t>
      </w:r>
    </w:p>
    <w:p>
      <w:r>
        <w:rPr>
          <w:b/>
        </w:rPr>
        <w:t>E. 2.1</w:t>
      </w:r>
    </w:p>
    <w:p>
      <w:r>
        <w:t>Nach Art. 4 MWSTV unterliegen Lieferungen und Dienstleistungen der Mehrwertsteuer nur, wenn sie gegen Entgelt erbracht werden. Die Entgeltlichkeit erfordert einen Leistungsaustausch zwischen dem steuerpflichtigen Leistungserbringer und dem Empfänger. Das Bundesgericht hat zum Begriff des Leistungsaustausches in grundsätzlicher Hinsicht Stellung genommen (BGE 126 II 451 f. E. 6; vgl. auch Urteil des Bundesgerichts vom 25. August 2000, veröffentlicht in Steuer-Revue [StR] 1/2001 S. 55 ff. E. 6). Danach findet erst mit dem Austausch von Leistungen ein steuerbarer Umsatz statt. Die Leistung besteht entweder in einer Lieferung oder Dienstleistung, die Gegenleistung des Empfängers im Entgelt. Zusätzlich ist eine wirtschaftliche Verknüpfung zwischen Leistung und Gegenleistung erforderlich. Es muss ein ursächlicher Zusammenhang zwischen Leistung und Gegenleistung bestehen (Daniel Riedo, Vom Wesen der Mehrwertsteuer als allgemeine Verbrauchsteuer und von den entsprechenden Wirkungen auf das schweizerische Recht, Bern 1999, S. 223 ff.). Dies ist insbesondere dann der Fall, wenn der Leistungsaustausch auf einem Vertrag beruht (BGE 126 II 249 E. 4a, 443 E. 6a). Ein Leistungsaustausch kann aber unter Umständen auch gegeben sein, ohne dass ein Vertrag vorliegt (Urteil des Bundesgerichts vom 8. Juni 2000, veröffentlicht in MWST-Journal 2/200 S. 151 f. E. 4a).</w:t>
      </w:r>
    </w:p>
    <w:p>
      <w:r>
        <w:rPr>
          <w:b/>
        </w:rPr>
        <w:t>E. 2.2</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Entscheide der SRK vom 5. Juli 2005, veröffentlicht in Verwaltungspraxis der Bundesbehörden [VPB] 70.7 E. 2a mit Hinweisen; vom 18. November 2002, veröffentlicht in VPB 67.49 E. 3c/aa mit Hinweisen; ausführlich: Daniel Riedo, a.a.O., S. 112 Fn. 125; Jean-Marc Rivier/Annie Rochat, La taxe sur la valeur ajoutée, Fribourg 2000,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publiziert in Archiv für Schweizerisches Abgaberecht [ASA] 73 S. 569 E. 3.2; Urteil des Bundesverwaltungsgerichts A-1341/2006 vom 7. März 2007 E. 2.4).</w:t>
      </w:r>
    </w:p>
    <w:p>
      <w:r>
        <w:rPr>
          <w:b/>
        </w:rPr>
        <w:t>E. 2.3</w:t>
      </w:r>
    </w:p>
    <w:p>
      <w:r>
        <w:t>Die Steuer wird gemäss Art. 26 Abs. 1 MWSTV vom Entgelt berechnet. Zum Entgelt gehört nach Art. 26 Abs. 2 MWSTV alles, was der Empfänger oder an seiner Stelle ein Dritter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Als nahestehende Personen werden an einer Firma beteiligte Personen bezeichnet (z.B. Aktionäre usw.) sowie liierte Unternehmen (z.B. aufgrund enger Verbindung wie Konzernzugehörigkeit oder aufgrund vertraglicher, wirtschaftlicher oder personeller Beziehung) (Entscheide der SRK vom 16. Februar 2000, veröffentlicht in VPB 64.81 E. 5e; vom 4. Juli 2005 [SRK 2004-065] E. 3b/bb, cc).</w:t>
      </w:r>
    </w:p>
    <w:p>
      <w:r>
        <w:rPr>
          <w:b/>
        </w:rPr>
        <w:t>E. 2.4</w:t>
      </w:r>
    </w:p>
    <w:p>
      <w:r>
        <w:t>Die Veranlagung und Entrichtung der Mehrwertsteuer erfolgt nach dem Selbstveranlagungsprinzip (Art. 37 f. MWSTV; vgl. Ernst Blumenstein/Peter Locher, System des Steuerrechts, 6. Auflage, Zürich 2002, S. 421 ff.). Dies bedeutet, dass der Steuerpflichtige selbst und unaufgefordert über seine Umsätze und Vorsteuern abzurechnen und innerhalb von 60 Tagen nach Ablauf der Abrechnungsperiode den geschuldeten Mehrwertsteuerbetrag an die ESTV abzuliefern hat. Die ESTV ermittelt die Höhe des geschuldeten Mehrwertsteuerbetrages nur dann an Stelle des Steuerpflichtigen, wenn dieser seinen Pflichten nicht nachkommt. Der Steuerpflichtige hat seine Mehrwertsteuerforderung selbst festzustellen; er ist allein für die vollständige und richtige Versteuerung seiner steuerbaren Umsätze und für die korrekte Ermittlung der Vorsteuer verantwortlich (Isabelle Homberger Gut, in mwst.com, Basel/ Genf/ München 2000, Art. 46, N 1 ff.; Camenzind/ Honauer/ Vallender, Handbuch zum Mehrwertsteuergesetz, 2. Aufl., Bern 2003, Rz. 1579 ff.).</w:t>
      </w:r>
    </w:p>
    <w:p>
      <w:r>
        <w:rPr>
          <w:b/>
        </w:rPr>
        <w:t>E. 2.5</w:t>
      </w:r>
    </w:p>
    <w:p>
      <w:r>
        <w:t>Gemäss Art. 47 Abs. 1 MWSTV hat der 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Gebrauch gemacht. In der Wegleitung sind genauere Angaben enthalten, wie eine derartige Buchhaltung auszugestalten ist. Insbesondere müssen alle Geschäftsfälle fortlaufend, chronologisch und lückenlos aufgezeichnet werden (Rz. 874 der Wegleitung 1997).</w:t>
      </w:r>
    </w:p>
    <w:p>
      <w:r>
        <w:rPr>
          <w:b/>
        </w:rPr>
        <w:t>E. 2.6</w:t>
      </w:r>
    </w:p>
    <w:p>
      <w:r>
        <w:t>Nach Art. 48 MWSTV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(BGE 105 Ib 182 ff.; ASA 61 S. 819 E. 3a; Urteil des Bundesgerichtes vom 10. März 2006 [2A.109/2005] E. 2.2). Selbst eine formell einwandfreie Buchführung kann die Durchführung einer Schätzung erfordern, wenn die in den Büchern enthaltenen Geschäftsergebnisse von den Erfahrungszahlen wesentlich abweichen (ASA 58 S. 383 E. 2b; 42 S. 407 E. 2c;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(ASA 61 S. 819 E. 3a; Urteil des Bundesgerichtes vom 3. Februar 2006 [2A.253/2005] E. 4.1). In Betracht fallen einerseits Methoden, die auf eine Ergänzung oder Rekonstruktion der ungenügenden Buchhaltung hinauslaufen, andererseits Umsatzschätzungen aufgrund unbestrittener Teil-Rechnungsergebnisse in Verbindung mit Erfahrungssätzen (ASA 73 S. 233 f. E. 2c/aa; Entscheid der SRK vom 24. Oktober 2005, veröffentlicht in VPB 70.41 E. 2d.aa.). Sind die Voraussetzungen einer Ermessenstaxation erfüllt, obliegt es dem Mehrwertsteuerpflichtigen, den Beweis für die Unrichtigkeit der Schätzung zu erbringen (vgl. Entscheide der SRK vom 15. Oktober 1999, veröffentlicht in VPB 64.47 E. 5b; vom 29. Oktober 1999 [SRK 1998-102 und SRK 1998-103] E. 5, bestätigt durch Urteil des Bundesgerichts vom 21. Juni 2000 [2A.580/1999]). Erst wenn der Mehrwertsteuerpflichtige den Nachweis dafür erbringt, dass die Verwaltung mit der Ermessensveranlagung Bundesrecht verletzt bzw. dass ihr dabei erhebliche Ermessensfehler unterlaufen sind, nimmt die Rekurskommission eine Korrektur der Schätzung vor (vgl. Entscheide der SRK vom 5. Januar 2000, veröffentlicht in VPB 64.83 E. 2; vom 25. August 1998, veröffentlicht in VPB 63.27 E. 5c; vom 24. Oktober 2005 [SRK 2003-105] E. 2d/bb). Für das Bundesverwaltungsgericht besteht kein Anlass von diesem Vorgehen abzuweichen.</w:t>
      </w:r>
    </w:p>
    <w:p>
      <w:r>
        <w:rPr>
          <w:b/>
        </w:rPr>
        <w:t>E. 3</w:t>
      </w:r>
    </w:p>
    <w:p>
      <w:r>
        <w:t>Was die Leistungen anbelangt, welche die Gesellschaften in Ungarn und Mexiko erhalten haben, sind zwei Problemkreise strittig. Zum einen liegt im Streit, ob die Beschwerdeführerin durch die Übernahme der technische Assistenz bei der Produktion in Ungarn und Mexiko, welche ihre Muttergesellschaft zu erbringen hatte, einen mehrwertsteuerrechtlich relevanten Leistungsaustausch zwischen ihr und der Muttergesellschaft bewirkt hat (E. 3.2). Andererseits ist strittig, ob die Beschwerdeführerin für ihre Muttergesellschaft den Konzerngesellschaften in Ungarn und Mexiko Know-how zur Verfügung stellte und somit ihrer Muttergesellschaft eine Dienstleistung mit allfälliger mehrwertsteuerrechtlicher Konsequenz erbrachte (vgl. E. 3.3).</w:t>
      </w:r>
    </w:p>
    <w:p>
      <w:r>
        <w:rPr>
          <w:b/>
        </w:rPr>
        <w:t>E. 3.1</w:t>
      </w:r>
    </w:p>
    <w:p>
      <w:r>
        <w:t>Gemäss Vertrag vom 2. Januar 1996 zwischen der Muttergesellschaft der Beschwerdeführerin und der Konzerngesellschaft in Ungarn (nachfolgend "der Vertrag") hatte die Muttergesellschaft, soweit hier interessiert, folgende Leistungen zu erbringen: Sie stellt ihr technologisches Wissen ("Know-how") zur Verfügung. Darunter fallen u.a. die Zeichnungen, Produktionsmethoden, Qualitätskontrolle, Literatur bezüglich Applikationen sowie Handelsgeheimnisse (Art. 2 Ziff. 2 des Vertrages). Sie leistet zudem "technische Assistenz/Unterstützung". Sie bietet Beratung betreffend allen auftauchenden Problemen hinsichtlich der Produktion an. Sie ist bereit, technisches Personal nach Ungarn zu schicken. Dieses Personal steht für die technische Assistenz, Herstellung und Benutzung der Produkte zur Verfügung. Sie verpflichtet sich, den Angestellten der Konzerngesellschaft in Ungarn oder deren Kunden Ausbildung, Assistenz und Beratung zukommen zu lassen (Art. 3). Jede Partei hat im Übrigen die andere sofort über alle Verbesserungen der Technologie zu informieren und es wurde ein gegenseitiges "Erstkopie-Recht" vereinbart für den Fall, dass eine Partei ein neues Produkt oder eine Prozessverbesserung patentieren lässt (Art. 8). Als Entgelt für diese Leistungen hatte die Konzerngesellschaft in Ungarn der Muttergesellschaft Lizenzzahlungen ("Royalties") zu entrichten. Diese beliefen sich auf 5% des Nettoverkaufpreises jedes hergestellten Produktes (Art. 5). Die Definition in Art. 2 Ziff. 10 des Vertrags hält fest, dass die "Royalties" die Honorare sind, die durch die technische Assistenz/Unterstützung und die technologischen Kenntnisse/Know-how anfallen. Dass eine analoge Vereinbarung über einen Know-how-Transfer sowie technologische Assistenz zwischen der Muttergesellschaft und der Konzerngesellschaft in Mexiko vorlag, ist unbestritten. Es bestehen im Weiteren keine Anhaltspunkte dafür, dass der entsprechende Vertrag mit der Konzerngesellschaft in Mexiko nicht gleich ausgestaltet war wie derjenige mit der Konzerngesellschaft in Ungarn.</w:t>
      </w:r>
    </w:p>
    <w:p>
      <w:r>
        <w:rPr>
          <w:b/>
        </w:rPr>
        <w:t>E. 3.2.1</w:t>
      </w:r>
    </w:p>
    <w:p>
      <w:r>
        <w:t>Betreffend die Verpflichtung der Muttergesellschaft zur Leistung der technischen Assistenz bzw. Unterstützung bei der Produktion legt die Beschwerdeführerin in ihrer Beschwerde vom 10. Mai 2004 dar, dass zwischen ihr und der Muttergesellschaft ein Mandatsverhältnis bestanden habe. Der Mandatsvertrag habe vorgesehen, dass sie für ihre Muttergesellschaft die technische Assistenz bzw. Unterstützung bei den Konzerngesellschaften in Ungarn und Mexiko übernehme. Einer ihrer Mitarbeiter sei dabei vor Ort tätig gewesen. Sie habe jedoch diese Leistungen direkt mit der Konzernunternehmung in Ungarn respektive Mexiko abgerechnet. Zwischen ihr und der Muttergesellschaft habe deshalb kein Leistungsaustausch vorgelegen.</w:t>
      </w:r>
    </w:p>
    <w:p>
      <w:r>
        <w:rPr>
          <w:b/>
        </w:rPr>
        <w:t>E. 3.2.2</w:t>
      </w:r>
    </w:p>
    <w:p>
      <w:r>
        <w:t>Die ESTV wendet dazu in ihrer Vernehmlassung vom 23. Juni 2004 ein, dass die Beschwerdeführerin Aufgaben bzw. Verpflichtungen erfüllte, welche vertraglich der Muttergesellschaft oblagen. Solche Auslagerungen von vertraglich geschuldeten Leistungen führten zwangsläufig zur Annahme eines Leistungsaustauschverhältnisses auf der Ebene Muttergesellschaft-Beschwerdeführerin. Darüber hinaus erwähne die Beschwerdeführerin ja selber mehrmals, dass der Support im Rahmen eines Auftrags- bzw. Mandatsverhältnisses erledigt worden sei. Einen Auftrag ohne Leistungsaustausch gäbe es jedoch nicht.</w:t>
      </w:r>
    </w:p>
    <w:p>
      <w:r>
        <w:rPr>
          <w:b/>
        </w:rPr>
        <w:t>E. 3.2.3</w:t>
      </w:r>
    </w:p>
    <w:p>
      <w:r>
        <w:t>Unbestritten ist zudem, dass die technische Assistenz/Unterstützung, welche die Beschwerdeführerin gegenüber den Schwestergesellschaften in Ungarn und Mexiko erbracht hat, für die Muttergesellschaft erbracht wurde. Jene war nämlich aufgrund des Vertrags gegenüber den ausländischen Konzerngesellschaften selber verpflichtet, solche Leistungen zu erbringen, und sie wurde dafür auch gemäss Art. 2 Ziff. 10 entschädigt (vgl. E. 3.1). Die Muttergesellschaft hat somit die Leistungen, die sie selbst zu erbringen gehabt hätte, an die Beschwerdeführerin zur Ausführung übergeben. Davon gehen auch die Parteien übereinstimmend aus, wenn sie ausführen, dass die Beschwerdeführerin aufgrund eines zwischen ihr und der Muttergesellschaft bestehenden Mandatsverhältnisses gehandelt habe. Mehrwertsteuerrechtlich wäre das Vorliegen eines Vertrages aber nicht einmal erforderlich, denn massgebend ist die wirtschaftliche Betrachtungsweise und der erforderliche wirtschaftliche Zusammenhang kann auch gegeben sein, wenn kein Vertrag vorliegt (vgl. E. 2.1). Was fehlt, ist somit nicht das Vorliegen einer entgeltliche Leistung der Tochtergesellschaft an die Muttergesellschaft im Sinne von Art. 4 MWSTV, sondern lediglich die Rechnungstellung an diese (zur Höhe des steuerbaren Entgelts vgl. E. 3.4).</w:t>
      </w:r>
    </w:p>
    <w:p>
      <w:r>
        <w:rPr>
          <w:b/>
        </w:rPr>
        <w:t>E. 3.2.4</w:t>
      </w:r>
    </w:p>
    <w:p>
      <w:r>
        <w:t>Die Beschwerdeführerin hat keinerlei Nachweise für die von ihr behaupteten direkten Zahlungen durch die ausländischen Konzerngesellschaften an sie geliefert. Auch hat die ESTV im Rahmen ihrer Kontrolle keine Anhaltspunkte für erfolgte Direktzahlungen festgestellt. Zudem stehen solche Zahlungen in klarem Widerspruch zum Vertrag. In diesem wird festgehalten, dass die von der ausländischen Konzerngesellschaft an die Muttergesellschaft zu bezahlenden Royalties sowohl die Vergütung für den Know-how-Transfer als auch für die technische Assistenz/Unterstützung umfassen (vgl. Art. 2 Ziff. 10). Damit stellt sich auch die Frage nach einer allfälligen Steuerbefreiung aufgrund des Dienstleistungsexportes nicht.</w:t>
      </w:r>
    </w:p>
    <w:p>
      <w:r>
        <w:rPr>
          <w:b/>
        </w:rPr>
        <w:t>E. 3.2.5</w:t>
      </w:r>
    </w:p>
    <w:p>
      <w:r>
        <w:t>Zusammenfassend kann somit festgehalten werden, dass die Beschwerdeführerin die für die Muttergesellschaft erbrachten Assistenzleistungen nach Art. 4 lit. b MWSTV zu versteuern hat (zur Höhe des steuerbaren Entgelts vgl. E. 3.4).</w:t>
      </w:r>
    </w:p>
    <w:p>
      <w:r>
        <w:rPr>
          <w:b/>
        </w:rPr>
        <w:t>E. 3.3.1</w:t>
      </w:r>
    </w:p>
    <w:p>
      <w:r>
        <w:t>Hinsichtlich der Verpflichtung der Muttergesellschaft zur Zurverfügungstellung der technologischen Kenntnisse macht die Beschwerdeführerin geltend, dass ihre Muttergesellschaft den Konzerngesellschaften in Ungarn und Mexiko bloss Know-how überliess, welches sie in den Jahren 1985 bis 1990 entwickelt habe. Dieses Know-how habe sie noch unter dem WUST-Regime, d.h. vor 1995, auf ihre Muttergesellschaft übertragen. Folglich sei ihre Muttergesellschaft alleinige Eigentümerin dieses Know-how bzw. der entsprechenden Lizenzrechte. Indem die Muttergesellschaft den Konzerngesellschaften in Ungarn und Mexiko dieses Wissen zur Verfügung stellte, sei es folglich nur zwischen dieser und jenen, nicht aber zwischen ihr und der Muttergesellschaft zu einem Leistungsaustausch gekommen.</w:t>
      </w:r>
    </w:p>
    <w:p>
      <w:r>
        <w:rPr>
          <w:b/>
        </w:rPr>
        <w:t>E. 3.3.2</w:t>
      </w:r>
    </w:p>
    <w:p>
      <w:r>
        <w:t>Demgegenüber geht die ESTV davon aus, dass keine Übertragung des Know-how von der Beschwerdeführerin auf die Muttergesellschaft stattfand. Die Beschwerdeführerin habe der Muttergeselleschaft das von ihr erarbeitete Know-how lediglich zur Verfügung gestellt. Für diese Annahme sprächen verschiedene Anhaltspunkte. So habe die Beschwerdeführerin weder den genauen Zeitpunkt der angeblichen Übertragung noch die dafür normalerweise in Rechnung gestellte Entschädigung nachweisen können. Zudem seien die technologischen Kenntnisse nicht als geschütztes Immaterialgüterrecht (z.B. als Patent) ausgestaltet worden. Im Weiteren stelle sich die Frage, aufgrund welcher vertraglichen Basis die Beschwerdeführerin ihre weitere Entwicklungsarbeit leiste, sofern die Muttergesellschaft alleinige Inhaberin der Lizenzrechte sein sollte.</w:t>
      </w:r>
    </w:p>
    <w:p>
      <w:r>
        <w:rPr>
          <w:b/>
        </w:rPr>
        <w:t>E. 3.3.3</w:t>
      </w:r>
    </w:p>
    <w:p>
      <w:r>
        <w:t>Es ist vorliegend fraglich, ob die Muttergesellschaft Inhaberin des betreffenden von der Beschwerdeführerin in den Jahren 1985 bis 1990 entwickelten Wissens ist respektive ob die behauptete Übertragung stattfand. Für die Berechtigung der Muttergesellschaft sprechen die Tatsache, dass diese das Know-how den Konzerngesellschaften im Ausland entgeltlich zur Verfügung stellt sowie die Verbuchung der Royalties. Dagegen spricht jedoch, dass die Muttergesellschaft das Know-how in der Bilanz nicht aktiviert hat, dass Belege zur behaupteten Übertragung fehlen und - wie die ESTV zu Recht ausführt - dass nicht dargelegt wurde, auf welcher vertraglichen Basis die Beschwerdeführerin berechtigt ist, das Know-how weiter zu entwickeln. Gegen die erfolgte Übertragung an die Muttergesellschaft spricht auch der Zweck der Muttergesellschaft, der laut Handelsregistereintrag wie folgt lautet: "Erwerb von Beteiligungen an Unternehmen im In- und Ausland; die Gesellschaft kann Gesellschaften gründen, sich an solchen beteiligen, mit anderen Gesellschaften fusionieren oder Kooperationen eingehen sowie Liegenschaften im In- und Ausland erwerben, belasten und verkaufen" (Auszug des Handelsregisters des Kantons ... vom 26. Januar 2007). Der Zweck der Muttergesellschaft enthält demnach keinen Hinweis auf ein Halten bzw. Verwalten von Immaterialgüterrechten. Damit ist davon auszugehen, dass die Beschwerdeführerin Berechtigte des Know-hows ist und die Muttergesellschaft zu dessen Nutzung einer entsprechenden Übertragung der Nutzungsbefugnis durch die Beschwerdeführerin bedarf.</w:t>
      </w:r>
    </w:p>
    <w:p>
      <w:r>
        <w:rPr>
          <w:b/>
        </w:rPr>
        <w:t>E. 3.3.4</w:t>
      </w:r>
    </w:p>
    <w:p>
      <w:r>
        <w:t>Auch das weitere Argument der Beschwerdeführerin, sie sei gar nicht verpflichtet, aktuelles Know-how an die Gesellschaften in Ungarn und Mexiko weiter zu geben, geht fehl. Eine solche Pflicht ist zum Mindesten Voraussetzung von vertraglichen Pflichten. So wurde im Vertrag explizit festgehalten, dass jede Partei die andere sofort über alle Verbesserungen der Technologie informieren müsse (Art. 8 Ziff. 1). Auch aus der Tatsache, dass der Know-how-Transfer an die Konzerngesellschaften in Ungarn und Mexiko mit einer technischen Assistenz bzw. Unterstützung inklusive Beratung und Ausbildung verknüpft war (vgl. Art. 3 des Vertrags) - welche unbestrittenermassen die Beschwerdeführerin als Produktionsbetrieb erbrachte - kann geschlossen werden, dass auch aktuelles Know-how an die Konzerngesellschaften im Ausland weitergegeben wurde. Unbestritten ist im Übrigen, dass die Beschwerdeführerin neues technologisches Know-how entwickelte (vgl. Einsprache der Beschwerdeführerin vom 15. September 2003, Seite 3). Das Argument der Beschwerdeführerin, dass für die Konzerngesellschaften in den Schwellenländern Ungarn und Mexiko das Know-how aus der Zeit von 1985 bis 1990 ausreichend war, ist im Weiteren wenig glaubhaft. Dies nicht zuletzt auch deshalb, da zumindest die Konzerngesellschaft in Ungarn eine breit gestreute internationale Kundschaft aufweist, darunter auch namhafte multinationale Konzerne, die sich wohl nicht mit mehr als zehnjährigem Know-how zufrieden gaben (vgl. Vertretungsvertrag der Konzerngesellschaft in Ungarn mit der J._______ vom 1. Januar 2002, Beilage 1).</w:t>
      </w:r>
    </w:p>
    <w:p>
      <w:r>
        <w:rPr>
          <w:b/>
        </w:rPr>
        <w:t>E. 3.3.5</w:t>
      </w:r>
    </w:p>
    <w:p>
      <w:r>
        <w:t>Die Royalties wurden vorliegend somit (zumindest) auch für das Zurverfügungstellen von aktuellem Know-how bzw. von solchem, welches nach 1990 entwickelt wurde und demnach nur der Beschwerdeführerin zugeordnet werden kann, bezahlt. Die Beschwerdeführerin gab somit aktuelles Know-how im Sinne von Technologieverbesserungen (Art. 8 Ziff. 1 des Vertrages) oder im Rahmen der Beratung und Ausbildung (Art. 3 des Vertrages) für die Muttergesellschaft - welche gemäss Vertrag verpflichtet war, diese Leistungen zu erbringen - an die Konzerngesellschaften in Ungarn und Mexiko weiter. Die Beschwerdeführerin erbrachte der Muttergesellschaft somit zwangsläufig eine Leistung, welche unter unabhängigen Dritten nur gegen Entgelt getätigt würde. Ein Leistungsaustausch zwischen der Beschwerdeführerin und der Muttergesellschaft liegt demnach auch bezüglich den Know-hows vor.</w:t>
      </w:r>
    </w:p>
    <w:p>
      <w:r>
        <w:rPr>
          <w:b/>
        </w:rPr>
        <w:t>E. 3.3.6</w:t>
      </w:r>
    </w:p>
    <w:p>
      <w:r>
        <w:t>Weiter ist der Einwand der Beschwerdeführerin nicht zu hören, dass die Muttergesellschaft über genügend Personal verfügte, um die Lizenzrechte zu verwalten. Die von der Beschwerdeführerin hier diskutierte der Muttergesellschaft erbrachte Dienstleistung bestand nicht in der Lizenzverwaltung, sondern im Weiterentwickeln von Know-how. Mit dem Know-how-Transfer erbrachte die Beschwerdeführerin der Muttergesellschaft somit eine Dienstleistung, welche sie gemäss Art. 4 lit. b MWSTV zu versteuern hat (zur Höhe des steuerbaren Entgelts vgl. E. 3.4).</w:t>
      </w:r>
    </w:p>
    <w:p>
      <w:r>
        <w:rPr>
          <w:b/>
        </w:rPr>
        <w:t>E. 3.4</w:t>
      </w:r>
    </w:p>
    <w:p>
      <w:r>
        <w:t>Nachdem feststeht, dass die Beschwerdeführerin gegenüber der Muttergesellschaft sowohl mittels der Assistenz/Unterstützung der Schwestergesellschaften als auch bezüglich des Know-how-Transfers entgeltliche Leistungen erbracht hat, gilt es, die Höhe des steuerlich relevanten Entgelts zu bestimmen; die Beschwerdeführerin hat diese bekanntlich gar nicht deklariert. Zu beachten ist, dass es sich bei der Muttergesellschaft um eine nahestehende Person im Sinne von Art. 26 Abs. 2 MWSTV handelt. Als Entgelt gilt somit der Wert, der unter unabhängigen Dritten vereinbart würde. Mangels Aufzeichnungen nahm die ESTV eine annäherungsweise Ermittlung des Wertes der Leistungen im Sinne von Art. 48 MWSTV vor. Die ESTV hat dabei das steuerbare Entgelt auf der Basis der von der Muttergesellschaft verbuchten Royalties geschätzt. Sie nahm folgende Berechnung vor: Einnahmen bei der Muttergesellschaft (Royalties): 105% abzüglich Wertschöpfung der Muttergesellschaft: 5% ergibt eine erbrachte Leistung der Beschwerdeführerin von: 100% Es handelt sich dabei um eine sachgerechte Schätzung im Rahmen von konzerninternen Leistungen (vgl. zum MWSTG: Spezialbroschüre Nr. 6 der ESTV, Kürzung des Vorsteuerabzuges bei gemischter Verwendung, September 2000, Ziff. 7.6.3). Da die Voraussetzungen für die Ermessenstaxation erfüllt sind, obliegt es der Beschwerdeführerin den Beweis für die Unrichtigkeit der Schätzung zu erbringen (vgl. E. 2.6). Einen solchen Nachweis hat sie indessen nicht erbracht. Insbesondere konnte sie nicht nachweisen, dass - wie von ihr behauptet - die Muttergesellschaft Inhaberin der Lizenzrechte hinsichtlich des Know-how aus der Zeit von 1985 bis 1990 ist und welcher Anteil der erhaltenen Royalties diesem (alten) Know-how zuzurechnen wäre. Wie die ESTV zu Recht darauf hinweist, ist diese Berechnungsmethode an sich von der Beschwerdeführerin nicht in Frage gestellt worden.</w:t>
      </w:r>
    </w:p>
    <w:p>
      <w:r>
        <w:rPr>
          <w:b/>
        </w:rPr>
        <w:t>E. 4</w:t>
      </w:r>
    </w:p>
    <w:p>
      <w:r>
        <w:t>Im Weiteren sind die Steuerbarkeit und der Umfang der von der Beschwerdeführerin an die J._______ erbrachten Leistungen umstritten. Die J._______ ist eine Schwestergesellschaft der Beschwerdeführerin. Sie erbringt für die Konzerngesellschaften in Ungarn und Mexiko die exklusive Handelsvertretung und den Vertrieb ihrer Produkte in verschiedenen Ländern. Es ist unbestritten, dass die Beschwerdeführerin für die J._______ vorliegend die entsprechenden Leistungen erbrachte, da die letztere weder über Personal verfügt noch Leistungen bei Dritten einkaufte. Die Beschwerdeführerin hatte diese an die J._______ erbrachten Leistungen jedoch nicht deklariert, weshalb die ESTV eine Nachbelastung vornahm.</w:t>
      </w:r>
    </w:p>
    <w:p>
      <w:r>
        <w:rPr>
          <w:b/>
        </w:rPr>
        <w:t>E. 4.1</w:t>
      </w:r>
    </w:p>
    <w:p>
      <w:r>
        <w:t>Die Beschwerdeführerin wendet ein, dass Lehre und Praxis betreffend den Domizil- und Verwaltungsgesellschaften klar die Meinung vertreten würden, für die privilegierten Gesellschaften sei keine Infrastruktur notwendig. Die durch das Steuerharmonisierungsgesetz geschaffenen Privilegien zur Attraktivitätssteigerung des Steuerstandortes Schweiz dürften durch die Mehrwertsteuer nicht zunichte gemacht werden. Die Beschwerdeführerin verkennt, dass die von ihr ins Feld geführten Privilegien für Holding- und Domizilgesellschaften für die Mehrwertsteuer keine Relevanz aufweisen. Für die mehrwertsteuerrechtliche Qualifikation eines Sachverhaltes sind die Bestimmungen des Steuerharmonisierungsgesetzes grundsätzlich nicht massgebend.</w:t>
      </w:r>
    </w:p>
    <w:p>
      <w:r>
        <w:rPr>
          <w:b/>
        </w:rPr>
        <w:t>E. 4.2</w:t>
      </w:r>
    </w:p>
    <w:p>
      <w:r>
        <w:t>Die Beschwerdeführerin begründet ihren Eventualantrag damit, dass die Leistung, welche sie an die J._______ erbracht hat, auf den tatsächlich Umfang zu beschränken sei. Sie macht geltend, nur einer ihrer Angestellten sei für die J._______ tätig gewesen. Die Bewertung der Dienstleistung zu Drittpreisen würde zu einer jährlichen Aufrechnung von ungefähr Fr. 184'000.-- führen, was einer Mehrwertsteuernachbelastung von Fr. 39'500.-- entspräche. Zutreffend ist, dass für die Bewertung der Leistungen der Beschwerdeführerin gemäss Art. 26 Abs. 2 MWSTV der Drittpreis massgebend ist, da es sich bei der Leistungsempfängerin um die Schwestergesellschaft und somit um eine nahestehende Person im Sinn des genannten Artikel handelt. Da keine detaillierten Aufzeichnungen vorlagen, musste die ESTV für die vorliegend relevante Zeit eine annäherungsweise Ermittlung des Wertes der Leistung vornehmen (Art. 48 MWSTV). Die ESTV stützte sich bei der Schätzung des Umfanges der Leistung auf den Vertrag vom 1. Januar 2002 zwischen der J._______ und der Konzerngesellschaft in Ungarn. Dieser sieht für die J._______ eine Provision von 5% für die Zeit bis zum 30. September 2002 und ab dem Jahr 2003 eine solche von 10% des Verkaufpreises der Produkte vor. Die ESTV schätzte in der Folge die von der Beschwerdeführerin an die J._______ erbrachte Leistung auf 5% des von dieser in der vorliegend relevanten Zeit erzielten Verkaufsumsatzes. Die Höhe des Verkaufsumsatzes ist dabei nicht strittig. Die ESTV ging somit davon aus, die J._______ habe auch vor dem Vertrag vom 1. Januar 2002 eine Provision in entsprechender Höhe erhalten bzw. vor dem schriftlichen Vertrag habe zumindest eine mündliche Vereinbarung zu den gleichen Mindestbedingungen existiert. Diese Annahme ist gerechtfertigt, da keine gegenteiligen Anhaltspunkte vorliegen. Die annäherungsweise Ermittlung der ESTV ist demnach sachgerecht. Da die Voraussetzungen der Ermessenstaxation gegeben sind, obliegt der Nachweis für die Unrichtigkeit der Schätzung der Beschwerdeführerin (E. 2.6). Einen solchen Nachweis hat sie indessen nicht erbracht. Insbesondere konnte sie ihre Behauptung, dass nur ein Angestellter für die J._______ tätig war, nicht belegen, noch sonst eine vertragliche Abmachung zwischen ihr und der J._______ beibringen.</w:t>
      </w:r>
    </w:p>
    <w:p>
      <w:r>
        <w:rPr>
          <w:b/>
        </w:rPr>
        <w:t>E. 5</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3'500.--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