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A-132/2015 vom 25. September 2015</w:t>
      </w:r>
    </w:p>
    <w:p>
      <w:r>
        <w:t>Bundesverwaltungsgericht, 2015-09-25, FR</w:t>
      </w:r>
    </w:p>
    <w:p>
      <w:r>
        <w:rPr>
          <w:b/>
        </w:rPr>
        <w:t xml:space="preserve">Quelle: </w:t>
      </w:r>
      <w:r>
        <w:t>https://mcp.opencaselaw.ch/entscheid/bvger_A-132_2015</w:t>
      </w:r>
    </w:p>
    <w:p>
      <w:r>
        <w:t>FR: TAF A-132/2015 du 25 septembre 2015</w:t>
      </w:r>
    </w:p>
    <w:p>
      <w:r>
        <w:t>IT: TAF A-132/2015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724 francs, répartie sur cinq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du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Il s'agit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unilatéralement attribué au recourant, afin qu'il puisse remplir au mieux ses obligations professionnelles, au vu des contraintes liées à sa fonction (services de piquet, tâches de surveillance, etc. ; voir ég. Feuille fédérale [FF] 1999 I 1443). L'utilisation du logement n° (...) est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Au cas d'espèce,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Ainsi, le législateur fédéral a d'entrée de cause entendu déléguer de manière relativement large la compétence d'édicter des dispositions d'exécution. Il est également intéressant de relever à cet égard que le Rapporteur du Conseil national a également souligné, lors des débats, la nécessité, pour les douaniers en particulier, d'effectuer des rotations géographiques imposées par l'exercice de leur fonction et de disposer, à cet effet, d'une législation applicable en pratique (BO 1999 CN 2096).</w:t>
      </w:r>
    </w:p>
    <w:p>
      <w:r>
        <w:rPr>
          <w:b/>
        </w:rPr>
        <w:t>E. 5.2.2.2</w:t>
      </w:r>
    </w:p>
    <w:p>
      <w:r>
        <w:t>Conformément à l'art. 37 al. 1 LPers, le Conseil fédéral édicte les dispositions d'exécution.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w:t>
      </w:r>
    </w:p>
    <w:p>
      <w:r>
        <w:rPr>
          <w:b/>
        </w:rPr>
        <w:t>E. 5.2.2.3</w:t>
      </w:r>
    </w:p>
    <w:p>
      <w:r>
        <w:t>Le DFF y a donné suite en adoptant l'art. 59 O-OPers, qui constitue le fondement des directives applicables en l'espèce. A cette occasion, le DFF peut préciser et détailler l'art. 21 LPers et, au vu de la délégation expresse figurant dans la loi, il peut poser des règles nouvelles qui restreignent les droit des administrés ou leur imposent des obligations, à condition que ces règles soient conformes au but de la loi (cf. supra, consid. 5.2.1). Dans ce contexte, l'art. 21 al. 1 LPers n'offre cependant pas un blanc-seing aux départements pour régler les rapports juridiques de leurs employés auxquels un logement de service est attribué. D'une part, les employeurs sont tenus de respecter les principes constitutionnels régissant l'ensemble de l'activité de l'Etat (cf. consid. 4.1). Ainsi, le principe de la proportionnalité exige en particulier que le dédommagement fixé par les départements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à laquelle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w:t>
      </w:r>
    </w:p>
    <w:p>
      <w:r>
        <w:t>En l'espèce, le nouveau dédommagement du logement de service du recourant a été établi selon un critère objectif, c'est-à-dire en fonction de sa surface (140.40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rappelé que l'inclusion de certaines communes genevoises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Une commune doit par conséquent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le recourant. Il s'agit seulement de l'un des cinq critères utilisés et il n'est pas contesté en l'espèce que (...; commune) remplit au moins trois des autres critères pour être inclue dans l'agglomération de Genève (cf. Schuler/Joye/Dessemontet, Recense­ment fédéral de la population 2000, Les niveaux géographiques de la Suisse, Office fédéral de la statistique, 2005, p. 103).</w:t>
      </w:r>
    </w:p>
    <w:p>
      <w:r>
        <w:rPr>
          <w:b/>
        </w:rPr>
        <w:t>E. 6.3.2</w:t>
      </w:r>
    </w:p>
    <w:p>
      <w:r>
        <w:t>En outre, le montant du dédommagement fixé en l'espèce par l'autorité inférieure (1'755 francs [140.40 m2 x 150 fr./m2 / 12], sans supplément/déduction), pour un quatre pièces, dépasse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98 % de ce montant. Ce dépassement s'explique néanmoins par la surface habitable de 140.40 m2 et la situation du logement de fonction (appartement avec mezzanine et une grande pièce de vie de 40.80 m2).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et peut être qualifiée de généreuse. Si l'on se réfère aux normes de construction récentes, l'on peut également signaler que, s'agissant des logements de service, l'Office fédéral des constructions et de la logistique OFCL recommande une surface de plancher nette de 100-120 m2 pour un quatre pièces et demi (cf. Directives de l'OFCL pour l'aménagement des logements de service lors de nouvelles construction, annexées aux Directives du DFF de 2013). Ainsi, même si le système adopté à l'art. 59 al. 1 O-OPers ne permet pas d'éviter un dépassement de la fourchette de 70 % du loyer d'objets comparables selon les usages locaux pour des cas exceptionnels, tel celui du recourant, il convient de relever que le montant mensuel de 1'755 francs, pour un 4 pièces de 140.40 m2, dans l'agglomération de Genève, reste relativement faible au regard de la prestation fournie. Dans ces circonstances, le dédommagement fixé par l'autorité inférieure n'apparaît pas hors de proportion avec la prestation octroyée, ce qui permet de se dispenser de toute mesure d'instruction supplémentaire. Il faut également relever que, par le choix d'une augmentation échelonnée en cinq tranches et en mettant en réserve la dernière tranche (124 francs), l'autorité inférieure est parvenue à limiter raisonnablement les inévitables désagréments pour le recourant, en accord avec le principe de la proportionnalité. On ne saurait enfin donner prise aux arguments de celui 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Le bâtiment a de surcroît été rénové en 2003 (cf. réponse, p. 12). L'autorité inférieure n'a dès lors pas outrepassé son pouvoir d'appréciation en accordant une unique déduction de 5 % (absence d'un lave-vaisselle).</w:t>
      </w:r>
    </w:p>
    <w:p>
      <w:r>
        <w:rPr>
          <w:b/>
        </w:rPr>
        <w:t>E. 6.3.3</w:t>
      </w:r>
    </w:p>
    <w:p>
      <w:r>
        <w:t>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6.4</w:t>
      </w:r>
    </w:p>
    <w:p>
      <w:r>
        <w:t>Les différents griefs du recourant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au recourant la hausse du dédommagement de son logement de service en cinq étapes (150 francs au 1er janvier 2015, 150 francs au 1er janvier 2016, 150 francs au 1er janvier 2017, 150 francs supplémentaires au 1er janvier 2018 et, enfin, une mise en réserve de 124 francs).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pages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