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A-1325/2011 vom 15. Februar 2012</w:t>
      </w:r>
    </w:p>
    <w:p>
      <w:r>
        <w:t>Bundesverwaltungsgericht, 2012-02-15, FR</w:t>
      </w:r>
    </w:p>
    <w:p>
      <w:r>
        <w:rPr>
          <w:b/>
        </w:rPr>
        <w:t xml:space="preserve">Quelle: </w:t>
      </w:r>
      <w:r>
        <w:t>https://mcp.opencaselaw.ch/entscheid/bvger_A-1325_2011</w:t>
      </w:r>
    </w:p>
    <w:p>
      <w:r>
        <w:t>FR: TAF A-1325/2011 du 15 février 2012</w:t>
      </w:r>
    </w:p>
    <w:p>
      <w:r>
        <w:t>IT: TAF A-1325/2011 del 15 febbraio 2012</w:t>
      </w:r>
    </w:p>
    <w:p>
      <w:pPr>
        <w:pStyle w:val="Heading2"/>
      </w:pPr>
      <w:r>
        <w:t>Regeste</w:t>
      </w:r>
    </w:p>
    <w:p>
      <w:r>
        <w:t>Taxe sur la valeur ajoutée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PA, prises par les autorités mentionnées à l'art. 33 LTAF, à savoir notamment les décisions rendues par l'AFC. La procédure est régie par la PA, pour autant que la LTAF n'en dispose pas autrement (art. 37 LTAF). Déposé par une personne qui a qualité pour recourir (cf. art. 48 al. 1 PA), ainsi que dans le délai et selon les formes prescrits (cf. art. 50 al. 1 et art. 52 al. 1 PA), le recours interjeté le 25 février 2011 contre la décision sur réclamation prise le 25 janvier 2011 est recevable et il y a dès lors lieu d'entrer en matière.</w:t>
      </w:r>
    </w:p>
    <w:p>
      <w:r>
        <w:rPr>
          <w:b/>
        </w:rPr>
        <w:t>E. 2.1</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conséquences que les dispositions de l'ancien droit s'appliquent à ceux qui sont plus anciens (art. 112 al. 1 LTVA). Dès lors que les faits déterminants se sont déroulés entre le 1er janvier 2004 et le 30 juin 2009 (périodes fiscales allant du 1er trimestre 2004 au 2ème trimestre 2009), la présente procédure est régie, s'agissant du droit matériel applicable, par la loi fédérale du 2 septembre 1999 régissant la taxe sur la valeur ajoutée (aLTVA, RO 2000 1300), entrée en vigueur le 1er janvier 2001 (cf. art. 94 al. 1 aLTVA; arrêté du Conseil fédéral du 29 mars 2000, RO 2000 1346; cf. également arrêts du Tribunal fédéral A-7675/2009 du 6 octobre 2011 consid. 2.1, A-6299/2009 du 21 avril 2011 consid. 2.1).</w:t>
      </w:r>
    </w:p>
    <w:p>
      <w:r>
        <w:rPr>
          <w:b/>
        </w:rPr>
        <w:t>E. 2.2</w:t>
      </w:r>
    </w:p>
    <w:p>
      <w:r>
        <w:t>Sur le plan procédural, en revanche, le nouveau droit s'applique à toutes les procédures pendantes à l'entrée en vigueur de la LTVA (art. 113 al. 3 LTVA).</w:t>
      </w:r>
    </w:p>
    <w:p>
      <w:r>
        <w:rPr>
          <w:b/>
        </w:rPr>
        <w:t>E. 2.2.1</w:t>
      </w:r>
    </w:p>
    <w:p>
      <w:r>
        <w:t>L'art. 113 al. 3 LTVA doit cependant être interprété de manière restrictive dans ce sens que seules les règles de procédure doivent être appliquées aux procédures pendantes. Le nouveau droit matériel ne doit pas trouver application aux périodes fiscales régies par l'ancien droit (cf. arrêts du Tribunal administratif fédéral A-7675/2009 du 6 octobre 2011 consid. 2.2.1, A-7083/2008 et A-7084/2008 du 29 novembre 2010 consid.1.2, A-2387/2007 du 29 juillet 2010 consid. 1.2 et A-6986/2008 du 3 juin 2010 consid. 1.2).</w:t>
      </w:r>
    </w:p>
    <w:p>
      <w:r>
        <w:rPr>
          <w:b/>
        </w:rPr>
        <w:t>E. 2.2.2</w:t>
      </w:r>
    </w:p>
    <w:p>
      <w:r>
        <w:t>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arrêts du Tribunal administratif fédéral A-7675/2009 du 6 octobre 2011 consid. 2.2.2, A-6299/2009 du 21 avril 2011 consid. 2.2.2 et les références citées).</w:t>
      </w:r>
    </w:p>
    <w:p>
      <w:r>
        <w:rPr>
          <w:b/>
        </w:rPr>
        <w:t>E. 2.2.3</w:t>
      </w:r>
    </w:p>
    <w:p>
      <w:r>
        <w:t>L'art. 81 LTVA fait partie des dispositions visées par l'art. 113 al. 3 LTVA, qui sont applicables immédiatement (cf. consid. 2.2 ci-avant), pour autant que l'acte de procédure en question (ou la décision concernée) ait été accompli après l'entrée en vigueur de la LTVA (cf. arrêts du Tribunal administratif fédéral A-7675/2009 du 6 octobre 2011 consid. 2.2.3, A-6299/2009 du 21 avril 2011 consid. 2.2.3 et les références citées; A-4516/2008 du 5 janvier 2011 consid 1.2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A-7675/2009 du 6 octobre 2011 consid. 2.2.3 et A-4450/2010 du 8 septembre 2011 consid. 1.2 et les références citées).</w:t>
      </w:r>
    </w:p>
    <w:p>
      <w:r>
        <w:rPr>
          <w:b/>
        </w:rPr>
        <w:t>E. 2.2.4</w:t>
      </w:r>
    </w:p>
    <w:p>
      <w:r>
        <w:t>Les dispositions en matière d'auto-taxation ne constituent pas des règles de procédure au sens restrictif précité; à cet égard, l'ancien droit reste applicable (cf. arrêts du Tribunal administratif fédéral A-4080/2010 du 9 septembre 2011 consid. 1.4 et A-4011/2010 du 18 janvier 2011 consid. 1.1 et les références citées; au sujet du principe d'auto-taxation cf. le consid. 5.1 ci-après). Il en va de même des règles en matière de taxation par estimation (cf. arrêts du Tribunal administratif fédéral A-7675/2009 du 6 octobre 2011 consid. 2.2.4, A-4080/2010 du 9 septembre 2011 consid. 1.5 et A-7712/2009 du 21 février 2011 consid. 3.2 et les références citées; au sujet de la taxation par estimation cf. le consid. 6.1 et 6.2 ci-après).</w:t>
      </w:r>
    </w:p>
    <w:p>
      <w:r>
        <w:rPr>
          <w:b/>
        </w:rPr>
        <w:t>E. 3.1</w:t>
      </w:r>
    </w:p>
    <w:p>
      <w:r>
        <w:t>Le recourant peut invoquer la violation du droit fédéral, y compris l'excès ou l'abus du pouvoir d'appréciation (cf. art. 49 lettre a PA), la constatation inexacte ou incomplète des faits pertinents (cf. art. 49 lettre b PA) ou l'inopportunité (cf. art. 49 lettre c PA; cf. également André Moser/Michael Beusch/Lorenz Kneubühler, Prozessieren vor dem Bundesverwaltungsgericht, Bâle 2008, ch. 2.149 p. 73; Ulrich Häfelin/Georg Müller/Felix Uhlmann, Allgemeines Verwaltungsrecht, 6e éd., Zurich/Saint Gall 2010, ch. 1758 ss).</w:t>
      </w:r>
    </w:p>
    <w:p>
      <w:r>
        <w:rPr>
          <w:b/>
        </w:rPr>
        <w:t>E. 3.2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JAAC 61.31 consid. 3.2.2; Alfred Kölz/Isabelle Häner, Verwaltungsverfahren und Verwaltungsrechtspflege des Bundes, 2ème éd., Zurich 1998, ch. 677).</w:t>
      </w:r>
    </w:p>
    <w:p>
      <w:r>
        <w:rPr>
          <w:b/>
        </w:rPr>
        <w:t>E. 3.3</w:t>
      </w:r>
    </w:p>
    <w:p>
      <w:r>
        <w:t>Le Tribunal administratif fédéral s'impose une certaine retenue dans son examen en matière de taxation par estimation justifiée (cf. arrêts du Tribunal administratif fédéral A-7675/2009 du 6 octobre 2011 consid. 3.4.1, A-4450/2010 du 8 septembre 2011 consid. 2.2). Par contre, pour déterminer si les conditions d'une taxation par estimation sont réunies, l'examen du Tribunal administratif fédéral est illimité (cf. arrêt du Tribunal fédéral 2C_426/2007 du 22 novembre 2007 consid. 4.3; ATAF 2009/60 consid. 2.9.2; arrêts du Tribunal administratif fédéral A-7675/2009 du 6 octobre 2011 consid. 3.4.1, A-4450/2010 du 8 septembre 2011 consid. 2.2, A-6299/2009 du 21 avril 2011 consid. 5.5 et les références citées; voir également Pascal Mollard/Xavier Oberson/Anne Tissot Benedetto, Traité TVA, Bâle 2009, p. 881 s. ch. 277 s.).</w:t>
      </w:r>
    </w:p>
    <w:p>
      <w:r>
        <w:rPr>
          <w:b/>
        </w:rPr>
        <w:t>E. 4.1</w:t>
      </w:r>
    </w:p>
    <w:p>
      <w:r>
        <w:t>Selon l'art. 5 lettre b aLTVA, les prestations de services fournies à titre onéreux sur territoire suisse sont soumises à la TVA, pour autant qu'elles ne soient pas expressément exclues du champ de l'impôt en vertu de l'art. 18 aLTVA. Toute prestation qui ne constitue pas la livraison d'un bien est considérée comme une prestation de services (art. 7 al. 1 aLTVA).</w:t>
      </w:r>
    </w:p>
    <w:p>
      <w:r>
        <w:rPr>
          <w:b/>
        </w:rPr>
        <w:t>E. 4.2</w:t>
      </w:r>
    </w:p>
    <w:p>
      <w:r>
        <w:t>Conformément à l'art. 21 al. 1 aLTVA, est assujetti à l'impôt quiconque, même sans but lucratif, exerce de manière indépendante une activité commerciale ou professionnelle, en vue de réaliser des recettes, à condition que les livraison de biens, prestations de services et les prestations à soi-même effectuées sur le territoire suisse dépassent annuellement CHF 75'000.-- (art. 21 al. 1 aLTVA). L'art. 21 al. 2 aLTVA énumère de manière non exhaustive les entités qui peuvent être assujetties telles les personnes physiques, les sociétés de personnes, les personnes morales de droit privé ou de droit public, les établissements publics non autonomes, et les collectivités de personnes n'ayant pas la capacité juridique qui effectuent des opérations sous une raison sociale commune (arrêts du Tribunal fédéral 2C_742/2008 du 11 février 2009 consid. 5.2, 2A.520/2003 du 29 juin 2004 consid. 2.2; arrêt du Tribunal administratif fédéral A-4450/2010 du 8 septembre 2011 consid. 3.2 et A-4011/2010 du 18 janvier 2011 consid. 2.2 ; cf. également les Instructions 2001 sur la TVA [Instructions 2001], ch. 6; voir encore la brochure spéciale n° 2 concernant l'assujettissement à la TVA, ch. 1.3). Demeure réservée la limitation de l'art. 25 al. 1 let. a aLTVA, selon laquelle ne sont pas assujettis les entrepreneurs dont la dette fiscale nette s'élève à moins de CHF 4'000.-- en présence d'un chiffre d'affaires entre CHF 75'000.-- et CHF 250'000.--.</w:t>
      </w:r>
    </w:p>
    <w:p>
      <w:r>
        <w:rPr>
          <w:b/>
        </w:rPr>
        <w:t>E. 4.3</w:t>
      </w:r>
    </w:p>
    <w:p>
      <w:r>
        <w:t>L'activité est commerciale ou professionnelle lorsqu'elle intervient vis-à-vis des tiers, qu'elle vise à obtenir des recettes et a un caractère durable. Exerce une telle activité de manière indépendante celui qui fournit ses prestations en son nom, en apparaissant comme prestataire vis-à-vis de l'extérieur (arrêt du Tribunal fédéral 2C_742/2008 du 11 février 2009 consid. 5.2, 2A.520/2003 du 29 juin 2004 consid. 2.2; arrêt du Tribunal administratif fédéral A-4450/2010 du 8 septembre 2011 consid. 3.2).</w:t>
      </w:r>
    </w:p>
    <w:p>
      <w:r>
        <w:rPr>
          <w:b/>
        </w:rPr>
        <w:t>E. 4.3.1</w:t>
      </w:r>
    </w:p>
    <w:p>
      <w:r>
        <w:t>Le terme « activité indépendante » en matière de TVA est une notion juridique indéterminée. Les indices plaidant en faveur d'une activité indépendante sont en particulier le risque entrepreneurial (de bénéfice et de perte), la liberté d'accepter ou non une tâche respectivement un mandat et d'organiser librement son activité. L'engagement de personnel, le fait d'effectuer des investissements importants, de disposer de ses propres locaux, d'avoir plusieurs clients différents ainsi que de jouir d'une indépendance d'un point de vue organisationnel et économique peuvent également jouer un rôle. La question de savoir si une activité est exercée à titre indépendant du point de vue de la TVA se détermine toujours compte tenu d'une évaluation complète de l'ensemble des facteurs devant être pris en compte (arrêts du Tribunal fédéral 2C_554/2010 du 21 septembre 2011 consid. 2.2, 2C_426/2008 et 2C_432/2008 du 18 février 2009 consid. 2.2, 2C_430/2008 du 18 février 2009 consid. 2.2, 2C_518/ 2007 et 2C_519/2007 du 11 mars 2008, publié in: Archives de droit fiscal suisse [Archives] 77 p. 569 consid. 2.2; arrêts du Tribunal administratif fédéral A-1989/2011 du 4 janvier 2012 consid. 2.2.1, A-5747/2008 du 17 mars 2011 consid. 2.4.1, A-4011/2010 du 18 janvier 2011 consid. 2.2.1).</w:t>
      </w:r>
    </w:p>
    <w:p>
      <w:r>
        <w:rPr>
          <w:b/>
        </w:rPr>
        <w:t>E. 4.3.2</w:t>
      </w:r>
    </w:p>
    <w:p>
      <w:r>
        <w:t>D'autres indices - mais qui ne sont pas seuls déterminants - pour le traitement fiscal en matière de TVA sont le traitement en matière de cotisations aux assurances sociales et la qualification en matière d'impôts directs sur le revenu et la fortune (arrêts du Tribunal fédéral 2A.47/2006 du 6 juillet 2006 consid. 3.2, 2A.304/2003 du 14 novembre 2003, publié in: Archives 76, p. 627 consid. 3.3.2; arrêts du Tribunal administratif fédéral A-4011/2010 du 18 janvier 2011 consid. 2.2.2 et les références citées). Compte tenu des objectifs différents poursuivis par les législations particulières, des divergences peuvent résulter entre les jugements rendus en matière de TVA et ceux rendus en matière d'assurances sociales respectivement d'impôts directs sur le revenu et la fortune. Il est ainsi possible que la même personne soit considérée différemment suivant le domaine en cause (cf. arrêts du Tribunal administratif fédéral A-1989/2011 du 4 janvier 2012 consid. 2.2.2, A-4011/2010 du 18 janvier 2011 consid. 2.2.2, A-156/2007 du 20 avril 2009 consid. 2.2.2. et A-3822/2007 du 3 juin 2008 consid. 2.1.4).</w:t>
      </w:r>
    </w:p>
    <w:p>
      <w:r>
        <w:rPr>
          <w:b/>
        </w:rPr>
        <w:t>E. 4.3.3</w:t>
      </w:r>
    </w:p>
    <w:p>
      <w:r>
        <w:t>Compte tenu de la caractéristique de la TVA comme impôt général de consommation le terme « activité indépendante » doit être interprété plutôt de manière large (arrêts du Tribunal administratif fédéral A-1989/2011 du 4 janvier 2012 consid. 2.2.3, A-5747/2008 du 17 mars 2011 consid. 2.4.1, A-4011/2010 du 18 janvier 2011 consid. 2.2.3 et les références citées; cf. également Daniel Riedo, Vom Wesen der Mehrwertsteuer als allgemeine Verbrauchsteuer und von den entsprechenden Wirkungen auf das schweizerische Recht, Berne 1999, p. 115, 174 f.)</w:t>
      </w:r>
    </w:p>
    <w:p>
      <w:r>
        <w:rPr>
          <w:b/>
        </w:rPr>
        <w:t>E. 4.3.4</w:t>
      </w:r>
    </w:p>
    <w:p>
      <w:r>
        <w:t>La question de savoir si un entrepreneur fournit ses prestations en son nom n'est pas seulement déterminante pour juger de son indépendance, mais aussi pour savoir s'il doit être considéré, du point de vue de la TVA, comme fournisseur ainsi que comme destinataire de prestations. En effet, les prestations sont en principe attribuées à celui qui, vis-à-vis de l'extérieur, en apparaissant comme prestataire, agit en son propre nom (arrêts du Tribunal administratif fédéral A-1989/2011 du 4 janvier 2012 consid. 2.2.4, A-5747/2008 du 17 mars 2011 consid. 2.4.2, A-4011/2010 du 18 janvier 2011 consid. 2.2.4 et les références citées). La question déterminante est celle de savoir comment la prestation offerte apparaît pour le public de manière générale respectivement comment elle est objectivement perçue par un tiers neutre (arrêts du Tribunal administratif fédéral A-5747/2008 du 17 mars 2011 consid. 2.4.1, A-5460/2008 du 12 mai 2010 consid. 3.5.2, A-1562/2006 du 26 septembre 2008 consid. 3.2.5.3, A-1382/2006 et A-1383/2006 du 19 juillet 2007 consid. 3.4.2, confirmé par l'arrêt du Tribunal fédéral 2C_518/2007 et 2C_519/2007 du 11 mars 2008 publié in : Archives 77 p. 567).</w:t>
      </w:r>
    </w:p>
    <w:p>
      <w:r>
        <w:rPr>
          <w:b/>
        </w:rPr>
        <w:t>E. 4.4.1</w:t>
      </w:r>
    </w:p>
    <w:p>
      <w:r>
        <w:t>La TVA se calcule sur la contre-prestation. Est réputé contre-prestation tout ce que le destinataire, ou un tiers à sa place, dépense en contrepartie de la livraison de biens ou de la prestation de services (cf. art. 33 al. 1 et 2 aLTVA).</w:t>
      </w:r>
    </w:p>
    <w:p>
      <w:r>
        <w:rPr>
          <w:b/>
        </w:rPr>
        <w:t>E. 4.4.2</w:t>
      </w:r>
    </w:p>
    <w:p>
      <w:r>
        <w:t>La qualification fiscale en matière de TVA ne doit pas être basée en premier lieu sur le droit civil, c'est-à-dire le droit des contrats, mais doit être effectuée en fonction de critères économiques effectifs (arrêts du Tribunal fédéral 2A.304/2003 du 14 novembre 2003 consid. 3.6.1; ATAF 2007/23 consid. 2.3.2; arrêts du Tribunal administratif fédéral A-1989/2011 du 4 janvier 2012 consid. 2.4, A-5747/2008 du 17 mars 2011 consid. 2.5, A-4011/2010 du 18 janvier 2011 consid. 2.4 et les références citées). Le point de vue économique est important en matière de TVA non seulement lors de la qualification juridique de l'état de fait, mais également lorsqu'il s'agit interpréter des notions de droit civil et de droit fiscal (arrêts du Tribunal fédéral 2A.43/2002 du 8 janvier 2003, publié in : Archives 73 p. 565 ss consid. 3.2; ATAF 2007/23 consid. 2.3.2; arrêts du Tribunal administratif fédéral A-5747/2008 du 17 mars 2011 consid. 2.5, A-5460/2008 du 12 mai 2010 consid. 2.4). Il n'est ainsi en principe pas décisif comment les parties ont aménagé leurs relations contractuelles (arrêts du Tribunal fédéral 2A.47/2006 du 6 juillet 2006 consid. 3.2.; arrêts du Tribunal administratif fédéral A-1989/2011 du 4 janvier 2012 consid. 2.4, A-5747/2008 du 17 mars 2011 consid. 2.5 et A-5460/2008 du 12 mai 2010 consid. 2.4 et les références citées).</w:t>
      </w:r>
    </w:p>
    <w:p>
      <w:r>
        <w:rPr>
          <w:b/>
        </w:rPr>
        <w:t>E. 4.5</w:t>
      </w:r>
    </w:p>
    <w:p>
      <w:r>
        <w:t>Dans plusieurs arrêts, le Tribunal fédéral et le Tribunal administratif fédéral se sont prononcés sur la qualification fiscale en matière de TVA du chiffre d'affaires réalisé sur la base de prestations de services sexuelles. En ce qui concerne de telles prestations fournies par des hôtesses dans des studios érotiques (« Erotikstudios ») ou encore « des salons de massage », tant le Tribunal fédéral que le Tribunal administratif fédéral ont jugé que compte tenu de l'apparence vis-à-vis de l'extérieur créée et des conditions-cadre organisationnelles, il s'agissait d'une activité dépendante. Selon le principe de l'unité de l'entreprise, le chiffre d'affaires réalisé par les hôtesses et celui réalisé par les studios respectivement salons précités devaient être additionnés et attribués à l'exploitant du studio (arrêt du Tribunal fédéral 2C_518/2007 du 11 mars 2008 publié in : Archives 77 p. 570 consid. 3.2 et 3.3, confirmant l'arrêt du Tribunal administratif fédéral A-1382/2006 et A-1383/2006 du 1er juillet 2007 consid. 2.2.3; cf. également arrêts du Tribunal fédéral 2C_806/2008 du 1er juillet 2009, 2C_426/2008 et 2C_432/2008 du 18 février 2009 consid. 4.2 et 2C_694/2007 du 26 août 2008 consid. 2.3; cf. également arrêts du Tribunal administratif fédéral A-2950/2011 du 8 février 2012 consid. 3.5, A-4011/2010 du 18 janvier 2011 consid. 3, A-5460/2008 du 12 mai 2010 consid. 3 et les références citées). Il ne s'agissait pas non plus d'une activité d'intermédiaire (arrêt du Tribunal fédéral 2C_518/2007 du 11 mars 2008 précité consid. 3.3.4; cf. également arrêt du Tribunal fédéral 2C_694/2007 du 26 août 2008 consid. 2.3). En outre, le Tribunal administratif fédéral a jugé que compte tenu de l'apparence créée, les « escortes » d'une agence d'escortes n'étaient pas indépendantes du point de vue de la TVA et le chiffre d'affaires généré par leur activité devait être entièrement attribué à l'agence (arrêt du Tribunal administratif fédéral A-5876/2010 du 24 mars 2010, en particulier consid. 5.1).</w:t>
      </w:r>
    </w:p>
    <w:p>
      <w:r>
        <w:rPr>
          <w:b/>
        </w:rPr>
        <w:t>E. 5.1</w:t>
      </w:r>
    </w:p>
    <w:p>
      <w:r>
        <w:t>En matière de TVA, la déclaration et le paiement de l'impôt ont lieu selon le principe de l'auto-taxation (art. 46 aLTVA; cf. arrêts du Tribunal administratif fédéral A-4440/2010 du 8 septembre 2011 consid. 3.1, A-2998/2009 du 11 novembre 2010 consid. 2.4;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(cf. arrêts du Tribunal fédéral 2C_246/2010 du 28 septembre 2010 consid. 7, 2A.109/2005 du 10 mars 2006 consid. 2.1; arrêts du Tribunal administratif fédéral A-7675/2009 du 6 octobre 2011 consid. 4.1, A-2998/2009 du 11 novembre 2010 consid. 2.4). L'assujetti doit ainsi établir lui-même la créance fiscale le concernant; il est seul responsable de l'imposition complète et exacte de ses opérations imposables et du calcul correct de l'impôt préalable (cf. arrêts du Tribunal fédéral 2C_246/2010 du 28 septembre 2010 consid. 7, 2C_614/2007 du 17 mars 2008 consid. 4.2; arrêts du Tribunal administratif fédéral A-2950/2011 du 8 février 2012 consid. 2.5.1, A-7675/2009 du 6 octobre 2011 consid. 4.1, A-4440/2010 du 8 septembre 2011 consid. 3.1).</w:t>
      </w:r>
    </w:p>
    <w:p>
      <w:r>
        <w:rPr>
          <w:b/>
        </w:rPr>
        <w:t>E. 5.2</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2001, rédigées suite à l'adoption de l'aLTVA (ch. 881 ss; arrêt du Tribunal fédéral 2C_426/2007 du 22 novembre 2007, publié in : Revue de droit administratif et de droit fiscal [RDAF] 2008 II, p. 20 ss consid. 3.1; arrêts du Tribunal administratif fédéral A-2950/2011 du 8 février 2012 consid. 2.5.2, A-7675/2009 du 6 octobre 2011 consid. 4.2, A-6299/2009 du 21 avril 2011 consid. 5.2., A-2998/2009 du 11 novembre 2010 consid. 2.5.3, A-5875/2009 du 16 juin 2010 consid. 3.2.2).</w:t>
      </w:r>
    </w:p>
    <w:p>
      <w:r>
        <w:rPr>
          <w:b/>
        </w:rPr>
        <w:t>E. 6.1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(cf. arrêts du Tribunal fédéral 2C_59/2011 du 1er juin 2011 consid. 3.2, 2C_170/2008 du 30 juillet 2008 consid. 4, arrêts du Tribunal administratif fédéral A-7675/2009 du 6 octobre 2011 consid. 5.1, A-4450/2010 du 8 septembre 2011 consid. 4.1 et les références citées). En particulier, une telle estimation a lieu lorsque des violations de règles formelles concernant la tenue de la comptabilité sont d'une gravité telle que la véracité matérielle des résultats comptables est remise en cause (cf. arrêt du Tribunal fédéral 2A.437/2005 du 3 mai 2006 consid. 3.1; arrêts du Tribunal administratif fédéral A-7675/2009 du 6 octobre 2011 consid. 5.1, A-4450/2010 du 8 septembre 2011 consid. 4.1 et les références citées). Ainsi, la taxation par estimation est une sorte de taxation d'office que l'autorité se voit dans l'obligation de mettre en oeuvre en cas de lacunes de la comptabilité.</w:t>
      </w:r>
    </w:p>
    <w:p>
      <w:r>
        <w:rPr>
          <w:b/>
        </w:rPr>
        <w:t>E. 6.2</w:t>
      </w:r>
    </w:p>
    <w:p>
      <w:r>
        <w:t>Lorsqu'elle procède par voie d'estimation, l'autorité de taxation doit choisir la méthode d'estimation qui lui permet le plus possible de tenir compte des conditions particulières prévalant dans l'entreprise en cause (cf. arrêts du Tribunal fédéral 2C_59/2011 du 1er juin 2011 consid. 3.2, 2C_426/2007 du 22 novembre 2007 consid. 3.2; arrêts du Tribunal administratif fédéral A-7675/2009 du 6 octobre 2011 consid. 5.2, A-4450/2010 du 8 septembre 2011 consid. 4.2, A-7809/2010 du 5 septembre 2011 consid. 2.6.2 et les nombreuses références citées; Pascal Mollard, TVA et taxation par estimation, Archives 69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(cf. arrêt du Tribunal fédéral 2A.253/2005 du 3 février 2006 consid. 4.2; arrêt du Tribunal administratif fédéral A-7675/2009 du 6 octobre 2011 consid. 5.2, A-4450/2010 du 8 septembre 2011 consid. 4.2, A-7809/2010 du 5 septembre 2011 consid. 2.6.2 et les références citées; Nicolas Schaller/Yves Sudan/Pierre Scheuner/Pascal Huguenot, TVA annotée, Genève/Zurich/Bâle 2005, ad art. 60 aLTVA ch. 2.3 p. 270 et les références citées). Les parties utiles et fiables de la comptabilité et les pièces justificatives disponibles doivent, dans la mesure du possible, être prises en compte dans le cadre de l'estimation. Elles peuvent même servir de base pour la taxation par estimation (cf. arrêts du Tribunal administratif fédéral A-7675/2009 du 6 octobre 2011 consid. 5.2, A-7809/2010 du 5 septembre 2011 consid. 2.6.2 et les références citées).</w:t>
      </w:r>
    </w:p>
    <w:p>
      <w:r>
        <w:rPr>
          <w:b/>
        </w:rPr>
        <w:t>E. 6.3</w:t>
      </w:r>
    </w:p>
    <w:p>
      <w:r>
        <w:t>Dans la procédure de recours, l'assujetti peut contester et remettre en cause, d'une part, la réalisation des conditions de l'estimation et, d'autre part, l'estimation du chiffre d'affaires aval en tant que telle. Si les conditions de la taxation par voie d'estimation sont remplies, c'est à lui qu'il revient de fournir les moyens de preuve nécessaires, afin d'attester du caractère manifestement inexact de l'estimation effectuée par l'administration (cf. arrêts du Tribunal fédéral 2C_429/2009 du 9 novembre 2009 consid. 3, 2C_430/2008 du 18 février 2009 consid. 5.2; arrêts du Tribunal administratif fédéral A-7675/2009 du 6 octobre 2011 consid. 5.3, A-4450/2010 du 8 septembre 2011 consid. 4.3, A-7809/2010 du 5 septembre 2011 consid. 2.8.3).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ATF 105 Ib 181 consid. 4c; arrêts du Tribunal fédéral 2C_429/2009 du 9 novembre 2009 consid. 3, 2A.569/2006 du 28 février 2007 consid. 3.3 in fine, arrêts du Tribunal administratif fédéral A-7675/2009 du 6 octobre 2011 consid. 5.3, A-4450/2010 du 8 septembre 2011 consid. 4.3). L'assujetti doit ainsi supporter l'incertitude qui résulte nécessairement d'une estimation en raison de sa violation du devoir d'auto-taxation (cf.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(cf. entre autres, arrêts du Tribunal administratif fédéral A-7675/2009 du 6 octobre 2011 consid. 5.3, A-4450/2010 du 8 septembre 2011 consid. 4.3, A-7809/2010 du 5 septembre 2011 consid. 2.8.3 et les références citées).</w:t>
      </w:r>
    </w:p>
    <w:p>
      <w:r>
        <w:rPr>
          <w:b/>
        </w:rPr>
        <w:t>E. 7.1</w:t>
      </w:r>
    </w:p>
    <w:p>
      <w:r>
        <w:t>En l'occurrence, le recourant exploite une agence d'escortes. Il conteste toutefois que les hôtesses agissent « de manière dépendante » du point de vue de la TVA et que leur chiffre d'affaires soit être « intégré » au sien.</w:t>
      </w:r>
    </w:p>
    <w:p>
      <w:r>
        <w:rPr>
          <w:b/>
        </w:rPr>
        <w:t>E. 7.1.1</w:t>
      </w:r>
    </w:p>
    <w:p>
      <w:r>
        <w:t>Selon la décision sur réclamation entreprise, les hôtesses figuraient sur le site internet de l'agence. Des annonces étaient également régulièrement placées dans les journaux par l'agence. Toujours d'après la décision attaquée, selon le site internet, l'agence offrait les services fournis par les hôtesses. Ces dernières ne pouvaient être contactées que par l'intermédiaire de l'agence, soit par téléphone, soit par courrier électronique. Il en résulterait, aux yeux du client, que l'agence fournissait les prestations en son propre nom et ne se bornait pas à servir de centrale téléphonique. L'agence fixait également les tarifs applicables, qui se trouvaient d'ailleurs également sur internet. Elle recrutait également les hôtesses et décidait quelle hôtesse pouvait travailler pour elle. L'agence convenait de la date et du lieu des rendez-vous, sans qu'il soit d'importance que le recourant ne soit pas en mesure de s'immiscer dans la relation entre l'hôtesse et le client. Selon l'autorité intimée, l'agence apparaissait aux yeux du client comme la prestataire des services sexuels et les escortes qui y officiaient s'inscrivaient dans une organisation de travail permettant de nier leur autonomie. Dans sa réponse, l'AFC relève également que la publicité de l'agence visait la promotion de la seule agence et en aucune manière celle des hôtesses qui n'étaient pas mentionnées dans les supports publicitaires. Le recourant fixait d'ailleurs la nature ainsi que le tarif des faveurs sexuelles et convenait avec le client de la date et du lieu des rendez-vous. La nature des prestations offertes et l'organisation mise en place par le recourant permettait en outre de garantir que les clients s'acquittaient du prix des prestations reçues, de sorte que les hôtesses ne supportaient en réalité pas de risque financier.</w:t>
      </w:r>
    </w:p>
    <w:p>
      <w:r>
        <w:rPr>
          <w:b/>
        </w:rPr>
        <w:t>E. 7.1.2</w:t>
      </w:r>
    </w:p>
    <w:p>
      <w:r>
        <w:t>Le recourant ne conteste pas réellement la description des faits précités. Il admet que les clients prenaient contact avec le recourant qui en référait aux hôtesses. Il admet également qu'il organisait les rendez-vous avec les clients. Il considère toutefois que le client « n'entre pas en contact avec l'agence pour elle-même, mais pour passer un moment avec une fille en particulier ». Pour les hôtesses, le fait de passer par l'intermédiaire de l'agence leur assurait un certain sérieux et un minimum de sécurité. En outre, l'agence permettait à « l'escort girl de véhiculer de manière plus large son image » et d'accroître sa clientèle. L'hôtesse faisait en réalité usage du service de réception des appels offerts par le recourant, puisque ce dernier lui transmettait les messages des clients, mais qu'elle restait libre de donner suite à un appel d'un client. Par ailleurs, seul le premier contact avec le client était établi par l'agence ; par la suite, l'escort girl pouvait avoir des contacts téléphoniques directs avec le client, sans passer par l'agence, pour autant qu'elle le souhaitait et qu'elle informait l'agence des rencontres avec celui-ci. Au niveau organisationnel, les hôtesses seraient libres de planifier en toute indépendance le déroulement de leurs activités. Elles accepteraient ou non un rendez-vous proposé et définiraient le lieu de la rencontre d'entente avec le client. Le recourant ne mettait d'ailleurs aucun lieu à disposition du client et de l'hôtesse et il n'existait aucun planning des horaires de chacune d'elles. S'agissant des prix fixés pour les prestations fournies, le recourant fait valoir qu'il convenait d'éviter la sous-enchère et d'écarter des clients qui ne seraient pas en mesure de payer pour un certain service de qualité ainsi que d'assurer un certain standing.</w:t>
      </w:r>
    </w:p>
    <w:p>
      <w:r>
        <w:rPr>
          <w:b/>
        </w:rPr>
        <w:t>E. 7.1.3</w:t>
      </w:r>
    </w:p>
    <w:p>
      <w:r>
        <w:t>Ainsi que l'a retenu l'autorité inférieure, c'est l'agence qui apparaît vis-à-vis de l'extérieur et non pas les hôtesses. Celles-ci ne font pas de publicité pour elles-mêmes et seule le « pseudo » de l'hôtesse est mentionné sur le site internet de l'agence. Le client ne peut entrer en contact directement avec l'hôtesse, du moins pour convenir du premier rendez-vous, mais doit s'adresser à l'agence à cette fin. L'agence organise le rendez-vous avec le client. Elle fixe également les tarifs applicables pour les prestations fournies par ses hôtesses. Il n'est à cet égard pas déterminant pour quels motifs les prix sont fixés par l'agence ni d'ailleurs si l'agence a la possibilité ou non de contrôler les prix réellement pratiqués par ses hôtesses. La base de calcul pour fixer la rémunération revenant au recourant n'est pas non plus déterminante pour savoir qui apparaît vis-à-vis de l'extérieur, c'est-à-dire quelle est l'apparence créée. Le modèle de contrat produit par le recourant et qui régirait les relations entre l'agence et les hôtesses ne permet en réalité pas de tirer de conclusion quant à l'apparence vis-à-vis des clients et du public de manière générale créée. Bien que les hôtesses soient libres d'accepter ou non un rendez-vous avec le client et que le recourant ne mette pas de locaux (salon, chambre, etc.) à disposition des hôtesses et du client, il n'en demeure pas moins que c'est l'agence qui organise les rendez-vous, reçoit les appels et courriels des clients en vue d'un rendez-vous et organise ainsi directement ou indirectement le travail des hôtesses. Le fait que l'agence ne semble pas imposer d'horaire ou encore de lieu de rencontre et n'établisse ainsi pas de « planning » des activités des hôtesses ne change rien à l'apparence vis-à-vis de l'extérieur créée. A l'égard du public, la prestation est fournie par l'agence, car c'est elle qui propose les services de ses « escort girls ». Sans l'acceptation par les hôtesses, du moins tacite, des rendez-vous proposés par l'agence, celles-ci ne pourraient sans doute plus travailler pour l'agence. Dans ce sens, elles restent dans une certaine mesure soumises aux instructions du recourant et à l'organisation mise en place par l'agence. Le recourant admet d'ailleurs que le fait de passer par l'agence permet à l'hôtesse d'accroitre sa clientèle et, partant, ses revenus. Les hôtesses sont en outre tenues d'informer l'agence de leurs rencontres avec les clients et son soumises à une interdiction de concurrence, soit tous des éléments qui plaident en faveur d'une activité dépendante. Comme l'a jugé le Tribunal fédéral, l'exploitant qui met l'infrastructure de son établissement à disposition des hôtesses et qui décide qui peut y officier doit en règle générale être considéré comme l'employeur des prostituées qui y travaillent (arrêt du Tribunal fédéral 2C_334/2007 du 14 janvier 2008 consid. 3). Comme le relève à juste titre l'autorité inférieure dans sa réponse, la nature des prestations offertes et l'organisation mise en place par le recourant permettent de garantir que les clients s'acquittent du montant des prestations reçues. En effet, selon le site internet de l'agence (cf. pièce no 15 du dossier de l'AFC), « les prestations de nos escorts sont payables en espèces ou par carte de crédit, au début de la rencontre ». Ni l'agence, ni l'hôtesse n'encourent ainsi un réel risque de perte - sauf en cas d'opposition par le client au paiement par carte de crédit -, car la prestation doit être payée avant que celle-ci ne soit fournie. En outre, l'agence exige « une avance de 50% du prix de la prestation, plus les frais de transport », « si une escort doit se déplacer en dehors d'un rayon d'action raisonnable (en général plus de 100km) » (cf. pièce no 15 du dossier de l'AFC). Enfin, l'affirmation du recourant que les hôtesses doivent concéder un montant en faveur du recourant lorsqu'un client fait opposition à un paiement par carte de crédit - alors qu'elle-même n'encaisseraient rien - est une affirmation de partie qui ne trouve guère de fondement dans les pièces au dossier. En particulier, le modèle de contrat fourni (cf. pièce no 3 du dossier du recourant) n'est pas signé et son art. 10 peut difficilement être interprété dans le sens voulu par le recourant. Que le recourant n'ait pas consenti d'investissements importants n'est pas un élément plaidant en faveur de l'indépendance des hôtesses. Celles-ci n'ont de leur côté pas non plus effectué d'investissement. L'activité ici en cause ne nécessite en effet pas de structure lourde ou des investissements importants si bien que cet élément n'est, à lui seul, pas déterminant. La qualification de l'activité des hôtesses comme indépendantes pour les cotisations aux assurances sociales et pour le traitement en matière d'impôt direct sur le revenu et la fortune n'est pas prouvée par le recourant. Ce dernier se contente d'une affirmation, qui n'est pas démontrée. Quoi qu'il en soit, à supposer que les hôtesses soient effectivement traitées comme indépendantes du point de vue de l'AVS et des impôts directs sur le revenu et la fortune, comme le prétend le recourant, cet élément, bien que constituant un indice, n'est pas déterminant (cf. consid. 4.3.2 ci-avant). L'apparence vis-à-vis de l'extérieure créée selon laquelle l'agence fournit les prestations en son propre nom n'est ainsi pas modifiée. Compte tenu de ce qui précède, c'est à juste titre que l'AFC a considéré que le chiffre d'affaires total réalisé par les « escort girls » devait être attribué au recourant dont l'agence apparaît seule vis-à-vis des clients.</w:t>
      </w:r>
    </w:p>
    <w:p>
      <w:r>
        <w:rPr>
          <w:b/>
        </w:rPr>
        <w:t>E. 7.2</w:t>
      </w:r>
    </w:p>
    <w:p>
      <w:r>
        <w:t>Le recourant ne conteste pas le principe même de la taxation par estimation, qui est fondée, le recourant n'ayant pas tenu de comptabilité ni enregistré les recettes des services rendus aux clients (cf. les faits lettre A.a et lettre F ci-avant ainsi que le consid. 6 ci-avant). Il considère en revanche que la marge bénéficiaire - fixée par l'AFC à 30% - ne devrait pas être inférieure à 40%.</w:t>
      </w:r>
    </w:p>
    <w:p>
      <w:r>
        <w:rPr>
          <w:b/>
        </w:rPr>
        <w:t>E. 7.2.1</w:t>
      </w:r>
    </w:p>
    <w:p>
      <w:r>
        <w:t>Selon la décision du 25 janvier 2011 ici entreprise, l'AFC a opté pour la reconstruction du chiffre d'affaires. Elle a déterminé le montant des recettes totales provenant des prestations sexuelles imputables au recourant sur la base de la marge encaissée par ce dernier qui représentait, selon les informations à disposition, 30% du chiffre d'affaires.</w:t>
      </w:r>
    </w:p>
    <w:p>
      <w:r>
        <w:rPr>
          <w:b/>
        </w:rPr>
        <w:t>E. 7.2.2</w:t>
      </w:r>
    </w:p>
    <w:p>
      <w:r>
        <w:t>Le recourant fait valoir que dans les cas examinés par le Tribunal fédéral, la marge de l'entité organisant une activité de prostitution était en principe comprise entre 40% et 50%. Il estime que l'AFC était dès lors tenue de prendre en compte une marge conforme aux pratiques applicables dans la branche et qui ne pouvait pas être inférieure à 40%.</w:t>
      </w:r>
    </w:p>
    <w:p>
      <w:r>
        <w:rPr>
          <w:b/>
        </w:rPr>
        <w:t>E. 7.2.3.1</w:t>
      </w:r>
    </w:p>
    <w:p>
      <w:r>
        <w:t>La jurisprudence invoquée par le recourant concernait la prostitution de salon, qui n'est pas déterminante pour fixer la marge bénéficiaire du recourant, qui ne met, lui, pas de locaux à disposition des prostituées et des clients. Sa marge bénéficiaire est ainsi, en comparaison avec la prostitution de salon, plus faible. Comme le souligne à juste titre l'autorité inférieure, l'affaire ayant fait l'objet de l'arrêt du Tribunal administratif fédéral A-5876/2008 du 24 mars 2010 concernait une agence escort dont la marge bénéficiaire s'élevait à 35%. Dans cette affaire, l'agence d'escort se chargeait toutefois également (directement) de l'encaissement et offrait en outre un service de transport par limousine, ce qui n'est pas le cas du recourant.</w:t>
      </w:r>
    </w:p>
    <w:p>
      <w:r>
        <w:rPr>
          <w:b/>
        </w:rPr>
        <w:t>E. 7.2.3.2</w:t>
      </w:r>
    </w:p>
    <w:p>
      <w:r>
        <w:t>L'autorité inférieure a relevé à juste titre, dans sa réponse du 11 mai 2011, qu'elle avait fixé la marge sur la base des informations communiquées par le recourant lors du contrôle. En effet, selon le rapport de révision auquel se réfère l'AFC (cf. pièces no 1 du dossier de l'AFC ainsi que les faits lettre A.a ci-avant) - et dont le contenu n'est pas expressément contesté par le recourant -, les « escort girls » encaissent la contre-prestation due par le client et rétrocèdent 30% au recourant. Dans son courrier du 15 septembre 2010 adressé à l'AFC, le mandataire du recourant a en outre confirmé que « les chiffres d'affaires correspondent au 30% touchés par mon client pour ses prestations indépendantes ». Dans son recours toutefois, le recourant explique pour la première fois qu'il serait rémunéré en fonction du temps que le client passe avec l'hôtesse, « indépendamment de l'étendue des prestations et donc de la rémunération de celle-ci ». Il ne recevrait ainsi pas un pourcentage du chiffre d'affaires généré par l'hôtesse. S'appuyant sur le modèle de contrat joint à son recours, le recourant explique que depuis 2008, il était « rémunéré pour ses services à hauteur de CHF 180.- par rendez-vous d'une heure et de CHF 300.-- pour un rendez-vous de deux heures ». A cet égard, l'autorité intimée a relevé, à raison, que dans la mesure où le tarif pour une heure était de CHF 600.-- et celui pour deux heures de CHF 1'000.-- (pièce no 14 du dossier de l'AFC), la marge de 30% correspondait à la réalité, coïncidant avec les chiffres articulés par le recourant dans son recours. L'argumentation du recourant et la pièce produite (cf. pièce no 3 du dossier du recourant), c'est-à-dire un modèle de contrat dont on ignore au demeurant s'il a été signé par les parties, ne permettent pas de démontrer le caractère manifestement erroné de l'estimation effectuée par l'administration, mais semblent, au contraire, plutôt la confirmer. Etant dans l'incapacité d'établir que l'estimation faite par l'administration ne correspond manifestement pas à la réalité, le recourant doit en supporter les conséquences. De plus, le recourant doit s'accommoder de l'imprécision qui résulte nécessairement d'une moyenne, puisqu'il est lui-même responsable de l'ouverture de la procédure de taxation par voie d'estimation (cf. consid. 6.3 ci-dessus; voir également l'arrêt du Tribunal fédéral 2C_429/2009 du 9 novembre 2009 consid. 5). En conclusion, rien ne permet de conclure que l'AFC aurait abusé de son pouvoir d'appréciation lorsqu'elle a procédé à l'estimation des chiffres d'affaires du recourant. Ce dernier n'a pas réussi à établir que le résultat auquel est parvenu l'autorité fiscale serait manifestement contraire à la réalité.</w:t>
      </w:r>
    </w:p>
    <w:p>
      <w:r>
        <w:rPr>
          <w:b/>
        </w:rPr>
        <w:t>E. 8</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CHF 3'300.--, comprenant l'émolument judiciaire et les débours, sont mis à la charge du recourant qui succombe. L'autorité de recours impute, dans le dispositif, l'avance sur les frais de procédure correspondants. Une indemnité à titre de dépens n'est pas alloué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