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A-129/2014 vom 6. März 2015</w:t>
      </w:r>
    </w:p>
    <w:p>
      <w:r>
        <w:t>Bundesverwaltungsgericht, 2015-03-06, DE</w:t>
      </w:r>
    </w:p>
    <w:p>
      <w:r>
        <w:rPr>
          <w:b/>
        </w:rPr>
        <w:t xml:space="preserve">Quelle: </w:t>
      </w:r>
      <w:r>
        <w:t>https://mcp.opencaselaw.ch/entscheid/bvger_A-129_2014</w:t>
      </w:r>
    </w:p>
    <w:p>
      <w:r>
        <w:t>FR: TAF A-129/2014 du 6 mars 2015</w:t>
      </w:r>
    </w:p>
    <w:p>
      <w:r>
        <w:t>IT: TAF A-129/2014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 Beusch/Kneubühler, a.a.O., Rz. 2.210).</w:t>
      </w:r>
    </w:p>
    <w:p>
      <w:r>
        <w:rPr>
          <w:b/>
        </w:rPr>
        <w:t>E. 1.3.2</w:t>
      </w:r>
    </w:p>
    <w:p>
      <w:r>
        <w:t>Vorliegend ist unbestritten, dass die Beschwerdegegnerin auf den Rückerstattungsforderungen der Beschwerdeführerin ab dem von der Vorinstanz für den Verzugseintritt als massgeblich erachteten Zeitpunkt, d.h. dem 16. Dezember 2010, einen Verzugszins von 5 % zu entrichten hatte. Streitig ist jedoch einerseits, ob der Verzug bereits mit der Entrichtung der SDL-Akontozahlungen unter Vorbehalt bzw. der Beschwerdeerhebung gegen die beiden Tarifverfügungen der Vorinstanz vom 6. März 2009 und 4. März 2010 eintrat und die Beschwerdegegnerin ab ersterem Zeitpunkt bis zu dem von der Vorinstanz für den Verzugseintritt als massgeblich erachteten späteren Zeitpunkt zusätzliche Verzugszinsen zu bezahlen hat (vgl. Rechtsbegehren 1 und 2). Umstritten ist andererseits, ob die Beschwerdeführerin für den Fall, dass dies zu verneinen ist, ab der Entrichtung der SDL-Akontozahlungen bis zum - ebenfalls streitigen - massgeblichen späteren Zeitpunkt des Verzugseintritts Anspruch auf Bereicherungszins hat (vgl. Eventual- und Subeventualbegehren). Streitig ist zudem die Verlegung der Kosten des vorinstanzlichen Verfahrens (vgl. Rechtsbegehren 3).</w:t>
      </w:r>
    </w:p>
    <w:p>
      <w:r>
        <w:rPr>
          <w:b/>
        </w:rPr>
        <w:t>E. 1.3.3</w:t>
      </w:r>
    </w:p>
    <w:p>
      <w:r>
        <w:t>Während die Beschwerdeführerin mit den Rechtsbegehren 1 und 2 nicht über den Streitgegenstand des vorinstanzlichen Verfahrens hinausgeht, da sie bereits dort Verzugszins ab Entrichtung der SDL-Akontozahlungen geltend machte, und die mit Rechtsbegehren 3 geforderte Kostenverlegung der vor der Vorinstanz verlangten entspricht, beantragt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9).</w:t>
      </w:r>
    </w:p>
    <w:p>
      <w:r>
        <w:rPr>
          <w:b/>
        </w:rPr>
        <w:t>E. 1.4</w:t>
      </w:r>
    </w:p>
    <w:p>
      <w:r>
        <w:t>Die Beschwerde wurde im Weiteren frist- und formgerecht eingereicht (vgl. Art. 50 Abs. 1 und Art. 52 Abs. 1 VwVG), weshalb - unter Vorbehalt der vorstehenden Ausführungen (vgl. E.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einerseits streitig, ob der Verzug bereits mit der Entrichtung der SDL-Akontozahlungen unter Vorbehalt bzw. der Beschwerdeerhebung gegen die beiden Tarifverfügungen der Vorinstanz vom 6. März 2009 und 4. März 2010 eintrat und die Beschwerdegegnerin der Beschwerdeführerin ab ersterem Zeitpunkt bis zu dem von der Vorinstanz für den Verzugseintritt als massgeblich erachteten späteren Zeitpunkt zusätzliche Verzugszinsen zu bezahlen hat (vgl. Rechtsbegehren 1 und 2). Andererseits ist umstritten, ob die Beschwerdeführerin für den Fall, dass dies zu verneinen ist, ab der Entrichtung der Akontozahlungen bis zum - ebenfalls streitigen - massgeblichen späteren Zeitpunkt des Verzugseintritts Anspruch auf Bereicherungszins hat (vgl. Eventual- und Subeventualbegehren). Streitig ist zudem die Verlegung der Kosten des vorinstanzlichen Verfahrens (vgl. Rechts-begehren 3). Nachfolgend wird zunächst die erste Frage (vgl. E. 4 ff.), anschliessend die zweite (vgl. E. 8 f.) und schliesslich die dritte geprüft (vgl. E. 10).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Verfügung der Vorinstanz vom 14. April 2011, mit der diese die SDL-Kosten für das Tarifjahr 2009 genehmigte,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9.5.1). Zusätzlicher Verzugszins (Rechtsbegehren 1 und 2)</w:t>
      </w:r>
    </w:p>
    <w:p>
      <w:r>
        <w:rPr>
          <w:b/>
        </w:rPr>
        <w:t>E. 4</w:t>
      </w:r>
    </w:p>
    <w:p>
      <w:r>
        <w:t>Die Beschwerdeführerin nennt im Zusammenhang mit ihrem Begehren auf zusätzlichen Verzugszins (vgl. Rechtsbegehren 1 und 2) die Gründe, wieso der Verzug bereits mit der Entrichtung der SDL-Akontozahlungen unter Vorbehalt bzw. der Beschwerdeerhebung gegen die beiden Tarifverfügungen der Vorinstanz vom 6. März 2009 und 4. März 2010 eingetreten sei (vgl. dazu nachfolgend E. 5 ff.).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seien die Vorbehalte, die sie mit den SDL-Akontozahlungen verbunden habe, als Mahnungen zu qualifizieren. Dafür spreche insbesondere auch der Umstand, dass es sich nicht rechtfertige, einen Schuldner, der aufgrund einer gesetzes- und verfassungswidrigen Verordnungsbestimmung verpflichtet sei, eine Geldsumme vorerst zu bezahlen und den Ausgang eines gerichtlichen Normenkontrollverfahrens abzuwarten, das wirtschaftliche Risiko dieser Bestimmung tragen zu lassen. Unerheblich sei zudem, ob die Rechnungsstellung der Beschwerdegegnerin auf hoheitlichem Verfügungshandeln basiert habe.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Ihre Rechnungsstellung für die SDL-Akontozahlungen habe nicht auf hoheitlichem Verfügungshandeln beruht. Die Vorbehalte der Beschwerdeführerin hätten sich somit anders als der Vorbehalt im zitierten Bundesgerichtsentscheid nicht gegen eine (provisorische) Veranlagungsverfügung gerichtet. Es sei daher nicht gerechtfertigt, sie - und damit die Endverbraucher - mit Verzugszinsen von 5 % ab Zahlung unter Vorbehalt zu belasten.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ihrer Replik einräumt - nie anerkannt, sie müsse auf den SDL-Akontozahlungen ab deren Entrichtung Verzugszinsen leisten.</w:t>
      </w:r>
    </w:p>
    <w:p>
      <w:r>
        <w:rPr>
          <w:b/>
        </w:rPr>
        <w:t>E. 5.4.3</w:t>
      </w:r>
    </w:p>
    <w:p>
      <w:r>
        <w:t>Soweit die Beschwerdeführerin vorbringt, ihre Vorbehalte seien gestützt auf BGE 95 I 258 E. 3 als Mahnungen zu qualifizieren, die die Beschwerdegegnerin im Zeitpunkt der Entrichtung der SDL-Akonto-zahlungen in Verzug gesetzt hätten,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Mahnung verlange. Die Vorinstanz hätte deshalb eine kartellrechtlich angemessene Regelung in dem Sinn treffen müssen (und dürfen), dass der Lauf der Verzugszinsen 30 Tage nach der Rechnungsstellung der Beschwerdegegnerin für die SDL-Akontozahlungen, mithin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6.3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7.1</w:t>
      </w:r>
    </w:p>
    <w:p>
      <w:r>
        <w:t>Die Beschwerdeführerin macht im Zusammenhang mit ihren Rechtsbegehren 1 und 2, wonach die Beschwerdegegnerin zusätzliche Verzugszinsen ab Entrichtung der SDL-Akontozahlungen zu leisten habe, schliesslich geltend, ihre Beschwerden gegen die Tarifverfügungen der Vorinstanz vom 6. März 2009 und 4. März 2010 seien als verzugsauslösende Mahnungen zu qualifizieren, da sie damit unmissverständlich zum Ausdruck gebracht habe, die geleisteten Akontozahlungen zurückfordern zu wollen.</w:t>
      </w:r>
    </w:p>
    <w:p>
      <w:r>
        <w:rPr>
          <w:b/>
        </w:rPr>
        <w:t>E. 7.2</w:t>
      </w:r>
    </w:p>
    <w:p>
      <w:r>
        <w:t>Die Vorinstanz führt in der angefochtenen Verfügung mit Verweis auf das Urteil des Bundesverwaltungsgerichts A-2619/2009 vom 29. November 2011 aus, die Beschwerdeführerin habe in den Beschwerden gegen die beiden Tarifverfügungen jeweils einzig die Aufhebung jener Dispositivziffer beantragt, mit welcher der von den Kraftwerkbetreiberinnen im Sinne von aArt. 31b Abs. 2 StromVV zu übernehmende Anteil an den SDL-Kosten festgesetzt worden sei. Ein konkretes Leistungsbegehren auf Rückerstattung der entrichteten SDL-Akontozahlungen habe sie jedoch nicht gestellt. Ihre Beschwerden könnten daher nicht als Mahnungen qualifiziert werden.</w:t>
      </w:r>
    </w:p>
    <w:p>
      <w:r>
        <w:rPr>
          <w:b/>
        </w:rPr>
        <w:t>E. 7.3.1</w:t>
      </w:r>
    </w:p>
    <w:p>
      <w:r>
        <w:t>Das von der Vorinstanz zitierte Urteil des Bundesverwaltungsgerichts betrifft die Beschwerde einer Kraftwerkbetreiberin im Sinne von aArt. 31b Abs. 2 StromVV, mit der diese die Aufhebung von Dispositivziffer 3 der Tarifverfügung der Vorinstanz vom 6. März 2009 (vgl. Bst. B.a) und die Rückerstattung allfälliger bereits geleisteter SDL-Akontozahlungen zuzüglich Verzugszins von 5 % ab dem jeweiligen Zahlungseingang beantragte (vgl. Bst. D des Urteils). Das Bundesverwaltungsgericht führte hinsichtlich des Zeitpunkts des Verzugseintritts in Übereinstimmung mit Lehre und Rechtsprechung (vgl. BGE 130 III 591 E. 3; Wiegand, a.a.O., Art. 102 N. 9) aus, das gerichtliche Geltendmachen einer Forderung sei eine Art der Mahnung, wobei der Verzug in dem Moment eintrete, in dem die Rechtsschrift dem Schuldner zugestellt werde. Es stellte deshalb im beurteilten Fall für den Eintritt des Verzugs auf den Zeitpunkt ab, in dem die Beschwerdeschrift der Beschwerdegegnerin zuging, dies allerdings nur hinsichtlich allfälliger bis zu diesem Zeitpunkt bereits geleisteter SDL-Akontozahlungen (vgl. E. 5 des Urteils).</w:t>
      </w:r>
    </w:p>
    <w:p>
      <w:r>
        <w:rPr>
          <w:b/>
        </w:rPr>
        <w:t>E. 7.3.2</w:t>
      </w:r>
    </w:p>
    <w:p>
      <w:r>
        <w:t>Im Unterschied zur beschwerdeführenden Kraftwerkbetreiberin im vorstehend erwähnten Fall beantragte die Beschwerdeführerin unbestrittenermassen weder in ihrer Beschwerde vom 23. April 2009 gegen die Tarifverfügung der Vorinstanz vom 6. März 2009 noch in jener vom 22. April 2010 gegen die Tarifverfügung der Vorinstanz vom 4. März 2010 (vgl. Bst. C), die Beschwerdegegnerin sei zur Rückzahlung (allfälliger) bereits geleisteter SDL-Akontozahlungen zu verpflichten. Vielmehr beschränkte sie sich darauf, jeweils (u.a.) die Aufhebung jener Dispositivziffer zu fordern, mit welcher der von den Kraftwerkbetreiberinnen im Sinne von aArt. 31b Abs. 2 StromVV zu übernehmende Anteil an den SDL-Kosten festgesetzt wurde (Dispositivziffer 3 der Tarifverfügung vom 6. März 2009 bzw. Dispositivziffer 5 der Tarifverfügung vom 4. März 2010; vgl. Bst. B). Sie machte somit mit den beiden Beschwerden ans Bundesverwaltungsgericht keine Rückerstattungsforderungen gegen die Beschwerdegegnerin für (allfällige) für die Tarifjahre 2009 und 2010 bereits geleistete SDL-Akontozahlungen geltend. Ihre Beschwerden können daher, wie die Vorinstanz zutreffend ausführt, nicht als Mahnungen qualifiziert werden. Dies gilt im Übrigen umso mehr, als die Beschwerdeführerin im Zeitpunkt der Beschwerdeerhebung gegen die Tarifverfügung für das Jahr 2009 lediglich die erste Akontozahlung für dieses Tarifjahr und im Zeitpunkt der Beschwerdeerhebung gegen die Tarifverfügung für das Jahr 2010 noch keine Akontozahlung für dieses Tarifjahr geleistet hatte, ihre Rückerstattungsforderungen im Zeitpunkt der Einreichung dieser Beschwerden mithin zum grössten Teil noch gar nicht bestanden (vgl. Urteil des Bundesverwaltungsgerichts A-2619/2009 vom 29. November 2011 E. 5).</w:t>
      </w:r>
    </w:p>
    <w:p>
      <w:r>
        <w:rPr>
          <w:b/>
        </w:rPr>
        <w:t>E. 7.3.3</w:t>
      </w:r>
    </w:p>
    <w:p>
      <w:r>
        <w:t>Entgegen der Ansicht der Beschwerdeführerin trat der Verzug der Beschwerdegegnerin somit nicht mit der Einreichung dieser Beschwerden und auch nicht im Zeitpunkt der Leistung der SDL-Akontozahlungen unter Vorbehalt ein. Damit erweisen sich die Rechtsbegehren 1 und 2 als unbegründet, weshalb sie abzuweisen sind. Ergänzender Bereicherungszins (Eventual- und Subeventualbegehren)</w:t>
      </w:r>
    </w:p>
    <w:p>
      <w:r>
        <w:rPr>
          <w:b/>
        </w:rPr>
        <w:t>E. 8</w:t>
      </w:r>
    </w:p>
    <w:p>
      <w:r>
        <w:t>Im Zusammenhang mit dem 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Diese Frage stellt sich auch im Zusammenhang mit dem Subeventualbegehren. Nachfolgend wird zunächst auf erstere (vgl. E. 8.1 ff.), anschliessend auf letztere Frage (vgl. E. 9) eingegangen. Verzugseintritt</w:t>
      </w:r>
    </w:p>
    <w:p>
      <w:r>
        <w:rPr>
          <w:b/>
        </w:rPr>
        <w:t>E. 8.1</w:t>
      </w:r>
    </w:p>
    <w:p>
      <w:r>
        <w:t>Die Beschwerdeführerin bringt in der Beschwerde im Zusammenhang mit ihrem Eventualbegehren vor, sollten die Zahlungsvorbehalte nicht als Mahnungen qualifiziert werden, seien sie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In der Replik führt sie aus, die Frage, ob die Beschwerdegegnerin einen Verfalltag habe vereinbaren können, stelle sich nicht, habe sich diese doch nach Treu und Glauben darüber im Klaren sein müssen, dass sie spätestens mit dem erwähnten Urteil in Verzug geraten sei.</w:t>
      </w:r>
    </w:p>
    <w:p>
      <w:r>
        <w:rPr>
          <w:b/>
        </w:rPr>
        <w:t>E. 8.2</w:t>
      </w:r>
    </w:p>
    <w:p>
      <w:r>
        <w:t>Die Beschwerdegegnerin macht geltend, der Verzug könne nicht am Tag des Urteils A-2607/2009 des Bundesverwaltungsgerichts eingetreten sein, da sie mit der Beschwerdeführerin keinen Verfalltag vereinbart habe. Im Weiteren sei nicht nachvollziehbar, inwieweit dieses Urteil, das eine Drittperson betroffen habe, für die Beschwerdeführerin relevant gewesen sein solle.</w:t>
      </w:r>
    </w:p>
    <w:p>
      <w:r>
        <w:rPr>
          <w:b/>
        </w:rPr>
        <w:t>E. 8.3.1</w:t>
      </w:r>
    </w:p>
    <w:p>
      <w:r>
        <w:t>Die Beschwerdeführerin reichte im vorinstanzlichen Verfahren zahlreiche Schreiben an die Beschwerdegegnerin aus der Zeit vor dem Ergehen des Urteils A-2607/2009 des Bundesverwaltungsgerichts ein. In diesen Schreiben weist sie zunächst darauf hin, sie begleiche die konkret betroffenen SDL-Akontorechnungen nur unter ausdrücklichem Vorbehalt und ohne Anerkennung einer Schuldpflicht. Der Vorbehalt beziehe sich auf allfällige Rechts- und Schiedsverfahren oder sonstige Rechtsbehelfe irgendwelcher Art, die das Inkasso überhöhter Rechnungen durch die Beschwerdegegnerin unter dem Titel Systemdienstleistungen feststellten. Anschliessend hält sie fest, es könne ihr dereinst keine freiwillige Bezahlung einer Nichtschuld im Sinne von Art. 63 Abs. 1 OR entgegengehalten werden und sie behalte sich ausdrücklich ein Rückforderungs- bzw. Verrechnungsrecht bezüglich allenfalls zu viel bezahlter Beträge bei künftigen Rechnungen vor.</w:t>
      </w:r>
    </w:p>
    <w:p>
      <w:r>
        <w:rPr>
          <w:b/>
        </w:rPr>
        <w:t>E. 8.3.2</w:t>
      </w:r>
    </w:p>
    <w:p>
      <w:r>
        <w:t>Aus diesen Schreiben geht nicht hervor, dass die Beschwerdegegnerin ihr bezahlte SDL-Akontobeträge ohne besonderen Hinweis zurückzuerstatten habe, wenn in einem Verfahren festgestellt werden sollte, sie seien zu Unrecht entrichtet worden. Vielmehr legen sie nahe, die Beschwerdeführerin werde die entsprechenden Beträge in einem solchen Fall ausdrücklich zurückfordern oder sie von künftigen Rechnungsbeträgen in Abzug bringen. Die Schreiben lassen somit sowohl offen, ob die Beschwerdegegnerin solche Beträge überhaupt zurückzahlen müsste - oder die Beschwerdeführerin sie stattdessen verrechnen würde -, als auch, wann die Rückzahlung gegebenenfalls zu erfolgen hätte. Sie können daher nicht dahingehend interpretiert werden, die Beschwerdeführerin verlange die Rückerstattung solcher Beträge zu einem bestimmten Zeitpunkt bzw. an einem bestimmten Tag. Mangels einer entsprechenden Willensäusserung können die Vorbehaltsschreiben von vornherein nicht als Grundlage für eine Verfalltagsvereinbarung herangezogen werden, wie sie die Beschwerdeführerin in der Beschwerde geltend macht. Ebenso wenig musste die Beschwerdegegnerin aufgrund dieser Schreiben nach Treu und Glauben davon ausgehen, mit dem Urteil A-2607/2009 des Bundesverwaltungsgerichts sei sie automatisch und ohne Mahnung der Beschwerdeführerin in Verzug geraten. Deren Vorbringen erweist sich demnach bereits aus diesen Gründen als unzutreffend, weshalb nicht weiter darauf eingegangen zu werden braucht.</w:t>
      </w:r>
    </w:p>
    <w:p>
      <w:r>
        <w:rPr>
          <w:b/>
        </w:rPr>
        <w:t>E. 8.3.3</w:t>
      </w:r>
    </w:p>
    <w:p>
      <w:r>
        <w:t>Damit bleibt es beim Zeitpunkt, den die Vorinstanz in der angefochtenen Verfügung für den Verzugseintritt als massgeblich erachtete, d.h. beim 16. Dezember 2010,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9.1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einem Schreiben der Beschwerdegegnerin vom 9. Februar 2011 gehe im Übrigen hervor, dass die Vorinstanz ursprünglich eine WACC-Verzinsung der gesamten Akontozahlungen anerkannt habe. Sollte für die Verzinsung nicht auf den WACC abzustellen sein, habe ihr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9.2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 Die Beschwerdeführerin übersehe, dass zwischen dem betriebsnotwendigen Vermögen, welches mit dem WACC verzinst werde, und jenem, das in ihren Büchern ausgewiesen sei, unterschieden werden müsse.</w:t>
      </w:r>
    </w:p>
    <w:p>
      <w:r>
        <w:rPr>
          <w:b/>
        </w:rPr>
        <w:t>E. 9.3</w:t>
      </w:r>
    </w:p>
    <w:p>
      <w:r>
        <w:t>Die Vorinstanz bringt vor, beim Betrag, der sich durch die Verzinsung der für den Betrieb des Übertragungsnetzes notwendigen Vermögenswerte mit dem WACC ergebe, handle es sich nicht um eine ungerechtfertigte Bereicherung, welche die Beschwerdegegnerin der Beschwerdeführerin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 keine Akontozahlungen geleistet hätte, da sie berechtigt gewesen wäre, die dadurch entstehende Unterdeckung mit dem WACC zu verzinsen. Dass sie ursprünglich eine WACC-Verzinsung der SDL-Akontozahlungen anerkannt habe, treffe im Übrigen nicht zu.</w:t>
      </w:r>
    </w:p>
    <w:p>
      <w:r>
        <w:rPr>
          <w:b/>
        </w:rPr>
        <w:t>E. 9.4.1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9.4.2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9.5.1).</w:t>
      </w:r>
    </w:p>
    <w:p>
      <w:r>
        <w:rPr>
          <w:b/>
        </w:rPr>
        <w:t>E. 9.4.3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9.5.1</w:t>
      </w:r>
    </w:p>
    <w:p>
      <w:r>
        <w:t>Die Beschwerdeführerin bringt zwar, wie dargelegt (vgl. E. 9.1), vor, die Beschwerdegegnerin habe auf den SDL-Akontozahlungen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9.4.2).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9.5.2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9.4.3)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9.5.3</w:t>
      </w:r>
    </w:p>
    <w:p>
      <w:r>
        <w:t>An diesem Ergebnis vermag im Übrigen auch das von der Beschwerdeführerin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9.6.1</w:t>
      </w:r>
    </w:p>
    <w:p>
      <w:r>
        <w:t>Soweit die Beschwerdeführerin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9.4.3). Auch dieses Vorbringen vermag jedoch nicht zu überzeugen.</w:t>
      </w:r>
    </w:p>
    <w:p>
      <w:r>
        <w:rPr>
          <w:b/>
        </w:rPr>
        <w:t>E. 9.6.2</w:t>
      </w:r>
    </w:p>
    <w:p>
      <w:r>
        <w:t>Wie dargelegt (vgl. E. 9.5.2),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9.6.3</w:t>
      </w:r>
    </w:p>
    <w:p>
      <w:r>
        <w:t>Damit erweist sich auch dieses Vorbringen und entsprechend das Begehren der Beschwerdeführerin, ihre Rückerstattungsforderungen für die SDL-Akontozahlungen seien ab deren Entrichtung bis zum Verzugseintritt mit dem WACC zu verzinsen, insgesamt als unbegründet. Ihr Eventual- und ihr Subeventualbegehren sind daher abzuweisen. Neuverlegung Verfahrenskosten (Rechtsbegehren 3)</w:t>
      </w:r>
    </w:p>
    <w:p>
      <w:r>
        <w:rPr>
          <w:b/>
        </w:rPr>
        <w:t>E. 10.1</w:t>
      </w:r>
    </w:p>
    <w:p>
      <w:r>
        <w:t>Wie erwähnt (vgl. Bst. H), beantragt die Beschwerdeführerin, es seien die Kosten des vorinstanzlichen Verfahrens neu (vollumfänglich) der Beschwerdegegnerin aufzuerlegen (vgl. Rechtsbegehren 3). Zwar begründet sie dieses Begehren nicht; es ist jedoch davon auszugehen, sie erachte die Beschwerdegegnerin bei einer Gutheissung der Rechtsbegehren 1 und 2 als im vorinstanzlichen Verfahren vollumfänglich - statt bloss teilweise - unterliegend.</w:t>
      </w:r>
    </w:p>
    <w:p>
      <w:r>
        <w:rPr>
          <w:b/>
        </w:rPr>
        <w:t>E. 10.2</w:t>
      </w:r>
    </w:p>
    <w:p>
      <w:r>
        <w:t>Wie dargelegt, sind die Rechtsbegehren 1 und 2 abzuweisen. Gleiches gilt für das Eventual- und das Subeventualbegehren.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11</w:t>
      </w:r>
    </w:p>
    <w:p>
      <w:r>
        <w:t>Damit erweisen sich sämtliche Rechtsbegehren der Beschwerdeführerin wie auch deren Eventual- und Subeventualbegehren als unbegründet. Die Beschwerde ist daher abzuweisen, soweit darauf eingetreten werden kann. Kosten und Entschädigung</w:t>
      </w:r>
    </w:p>
    <w:p>
      <w:r>
        <w:rPr>
          <w:b/>
        </w:rPr>
        <w:t>E. 12.1</w:t>
      </w:r>
    </w:p>
    <w:p>
      <w:r>
        <w:t>Bei diesem Verfahrensausgang gilt die Beschwerdeführerin als unterliegend. Sie hat deshalb die auf Fr. 3'000.-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12.2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