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A-1280/2008 vom 9. September 2008</w:t>
      </w:r>
    </w:p>
    <w:p>
      <w:r>
        <w:t>Bundesverwaltungsgericht, 2008-09-09, FR</w:t>
      </w:r>
    </w:p>
    <w:p>
      <w:r>
        <w:rPr>
          <w:b/>
        </w:rPr>
        <w:t xml:space="preserve">Quelle: </w:t>
      </w:r>
      <w:r>
        <w:t>https://mcp.opencaselaw.ch/entscheid/bvger_A-1280_2008</w:t>
      </w:r>
    </w:p>
    <w:p>
      <w:r>
        <w:t>FR: TAF A-1280/2008 du 9 septembre 2008</w:t>
      </w:r>
    </w:p>
    <w:p>
      <w:r>
        <w:t>IT: TAF A-1280/2008 del 9 settembre 2008</w:t>
      </w:r>
    </w:p>
    <w:p>
      <w:pPr>
        <w:pStyle w:val="Heading2"/>
      </w:pPr>
      <w:r>
        <w:t>Regeste</w:t>
      </w:r>
    </w:p>
    <w:p>
      <w:r>
        <w:t>Installations intérieures</w:t>
      </w:r>
    </w:p>
    <w:p>
      <w:pPr>
        <w:pStyle w:val="Heading2"/>
      </w:pPr>
      <w:r>
        <w:t>Erwägungen</w:t>
      </w:r>
    </w:p>
    <w:p>
      <w:r>
        <w:rPr>
          <w:b/>
        </w:rPr>
        <w:t>E. 1</w:t>
      </w:r>
    </w:p>
    <w:p>
      <w:r>
        <w:t>Selon l'article 23 de la loi sur les installations électriques du 24 juin 1902 dans sa teneur en vigueur depuis le 1er janvier 2007 (LIE, RS 734.0), le TAF connaît des recours contre les décisions émanant des organes de contrôle désignés à l'art. 21 LIE. L'IFICF est l'Inspection spéciale désignée par le Conseil fédéral au sens de l'art. 21 ch. 2 LIE. Sa décision du 30 janvier 2008 satisfait aux conditions posées par l'art. 5 de la loi fédérale du 20 décembre 1968 sur la procédure administrative (PA, RS 172.021). En outre, elle n'entre pas dans le champ d'exclusion de l'art. 32 de la loi fédérale du 17 juin 2005 sur le Tribunal administratif fédéral (LTAF, RS 173.32). Cela étant, le TAF est compétent pour connaître du litige. Par ailleurs, déposé en temps utile par le destinataire de la décision attaquée (art. 22 ss, 48 et 50 PA), le présent recours répond aux exigences de forme et de contenu prévues à l'art. 52 PA. Il est donc recevable.</w:t>
      </w:r>
    </w:p>
    <w:p>
      <w:r>
        <w:rPr>
          <w:b/>
        </w:rPr>
        <w:t>E. 2</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(ATF 132 III 731 consid. 3.5; Moor, op. cit., vol. II, p. 260).</w:t>
      </w:r>
    </w:p>
    <w:p>
      <w:r>
        <w:rPr>
          <w:b/>
        </w:rPr>
        <w:t>E. 3</w:t>
      </w:r>
    </w:p>
    <w:p>
      <w:r>
        <w:t>Aux termes de 20 al. 1 LIE, la surveillance des installations électriques et de leur bon état d'entretien incombe à l'exploitant (propriétaire, locataire, etc.). Selon l'art. 5 al. 1 de l'ordonnance sur les installations à basse tension du 7 novembre 2001 (OIBT, RS 734.27), le propriétaire ou un représentant désigné par lui veille à ce que l'installation électrique réponde en tout temps aux exigences des art. 2 et 4 OIBT. Sur demande, il doit présenter un rapport de sécurité. Quant à l'art. 36 OIBT, il prévoit que, six mois au moins avant l'expiration d'une période de contrôle, les exploitants de réseaux invitent par écrit les propriétaires des installations électriques qu'ils alimentent à présenter un rapport de sécurité au sens de l'art. 37 avant la fin de la période de contrôle (al. 1). Le délai peut être prorogé d'une année, au plus, après l'expiration de la période de contrôle fixée. Si le rapport de sécurité n'est pas présenté dans le délai malgré deux rappels, l'exploitant de réseau confie l'exécution du contrôle périodique à l'Inspection (al. 3). Pour les contrôles et les décisions prises en vertu de l'OIBT, l'Inspection perçoit des émoluments conformément aux art. 9 et 10 de l'ordonnance du 7 décembre 1992 sur l'Inspection fédérale des installations à courant fort (art. 41 OIBT). Selon l'art. 9 al. 1 de cette ordonnance, l'émolument que cette autorité perçoit pour les décisions qu'elle rend peut s'élever jusqu'à 1'500.-- francs. Le montant de l'émolument est fixé d'après la charge effective que l'acte impose à l'Inspection.</w:t>
      </w:r>
    </w:p>
    <w:p>
      <w:r>
        <w:rPr>
          <w:b/>
        </w:rPr>
        <w:t>E. 4</w:t>
      </w:r>
    </w:p>
    <w:p>
      <w:r>
        <w:t>Le recourant fait valoir en substance que l'entreprise H._______ SA, mandatée pour supprimer les défauts, a, par inadvertance, oublié de remettre le rapport de sécurité à l'exploitant du réseau. Celui-ci avait pourtant été établi le 28 août 2007. Il ne s'estime par conséquent pas responsable de cette omission et considère que, dans ces conditions, l'émolument de 400.-- francs n'est pas dû. De son côté, l'IFICF expose, qu'avant de rendre la décision attaquée, elle a accordé au recourant un nouveau délai pour produire le rapport de sécurité exigé et l'a averti que, passé ce délai, une décision soumise à un émolument (en principe) de 400.- francs serait rendue. En outre, toujours selon cette autorité, il ne suffit pas que l'entreprise électrique mandatée par le recourant supprime les défauts constatés lors du contrôle périodique. Il faut aussi, pour satisfaire aux réquisits de l'art. 36 OIBT, que le recourant produise le rapport de sécurité. D'ailleurs, dans le cas particulier, ce rapport devait être établi non pas par l'entreprise H._______ SA, mais bien plutôt par l'organe de contrôle. Ainsi, la décision litigieuse constitue une mesure nécessaire et est justifiée.</w:t>
      </w:r>
    </w:p>
    <w:p>
      <w:r>
        <w:rPr>
          <w:b/>
        </w:rPr>
        <w:t>E. 5.1</w:t>
      </w:r>
    </w:p>
    <w:p>
      <w:r>
        <w:t>Comme cela ressort clairement de la lettre et de l'esprit des art. 20 LIE, 5 et 36 OIBT, le recourant, en sa qualité d'exploitant de son cabinet médical, est responsable du bon état des installations électriques de ce local. Pour chaque période de contrôle, il lui appartient donc de rapporter la preuve que tel est bien le cas en remettant à l'exploitant du réseau le rapport de sécurité. Il est ainsi responsable de la production de ce rapport dans le délai imparti. En cas d'inexécution ou d'exécution tardive de cette obligation, il doit en assumer les conséquences. En l'occurrence, il est constant que le rapport de sécurité n'est parvenu à l'exploitant du réseau et à l'que postérieurement à la décision litigieuse. Aussi, au jour de la décision attaquée, le recourant n'avait-il toujours pas rapporté la preuve que les installations électriques de son local étaient en bon état de marche. Dans ces conditions, l'IFICF était légitimée à rendre une décision soumise à émolument comme elle l'avait annoncé précédemment. Le seul fait que le rapport requis était déjà établi lorsque la décision attaquée a été rendue, n'y change rien, puisque l'Inspection avait déjà fourni, à bon droit, l'activité pour laquelle l'émolument est perçu. On peut certes regretter le manque de diligence de l'entreprise mandatée par le recourant pour produire le rapport de sécurité dans le délai imparti, mais comme cela a été exposé ci-avant, il appartient à ce dernier d'assumer les conséquences de cette omission. Par ailleurs, on relèvera sur ce point que le recourant lui-même n'a pas été particulièrement zélé dans l'exécution de cette obligation. En effet, la première demande de l'exploitant du réseau à ce sujet date du 26 octobre 2004, puis deux rappels sont demeurés infructueux. Il a ainsi fallu que l'IFICF intervienne pour qu'enfin les défauts soient supprimés et le rapport de sécurité établi.</w:t>
      </w:r>
    </w:p>
    <w:p>
      <w:r>
        <w:rPr>
          <w:b/>
        </w:rPr>
        <w:t>E. 5.2</w:t>
      </w:r>
    </w:p>
    <w:p>
      <w:r>
        <w:t>S'agissant du montant de 400.-- francs requis au titre d'émolument pour l'établissement de la décision attaquée, il n'est pas contesté et n'apparaît pas non plus critiquable (pour un cas analogue, cf. Arrêt du Tribunal administratif fédéral A-6131/07 du 8 avril 2008, consid. 6 et la référence citée).</w:t>
      </w:r>
    </w:p>
    <w:p>
      <w:r>
        <w:rPr>
          <w:b/>
        </w:rPr>
        <w:t>E. 6</w:t>
      </w:r>
    </w:p>
    <w:p>
      <w:r>
        <w:t>Sur le vu de ce qui précède, le recours se révèle mal fondé et doit être rejeté. En application des art. 63 al. 1 PA et 4 du Règlement du 21 février 2008 concernant les frais, dépens et indemnités fixés par le Tribunal administratif fédéral (FITAF, RS 173.320.2), les frais de procédure fixés à 500.-- francs sont mis à la charge du recourant. Ils sont compensés par l'avance de frais du même montant qu'il a déjà versée. Dans la mesure où il succombe, il n'y a pas lieu de lui allouer une indemnité au titre de dépens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