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A-1276/2018 vom 12. Januar 2022</w:t>
      </w:r>
    </w:p>
    <w:p>
      <w:r>
        <w:t>Bundesverwaltungsgericht, 2022-01-12, FR</w:t>
      </w:r>
    </w:p>
    <w:p>
      <w:r>
        <w:rPr>
          <w:b/>
        </w:rPr>
        <w:t xml:space="preserve">Quelle: </w:t>
      </w:r>
      <w:r>
        <w:t>https://mcp.opencaselaw.ch/entscheid/bvger_A-1276_2018</w:t>
      </w:r>
    </w:p>
    <w:p>
      <w:r>
        <w:t>FR: TAF A-1276/2018 du 12 janvier 2022</w:t>
      </w:r>
    </w:p>
    <w:p>
      <w:r>
        <w:t>IT: TAF A-1276/2018 del 12 gennaio 2022</w:t>
      </w:r>
    </w:p>
    <w:p>
      <w:pPr>
        <w:pStyle w:val="Heading2"/>
      </w:pPr>
      <w:r>
        <w:t>Regeste</w:t>
      </w:r>
    </w:p>
    <w:p>
      <w:r>
        <w:t>Fiscalité de l'épargne</w:t>
      </w:r>
    </w:p>
    <w:p>
      <w:pPr>
        <w:pStyle w:val="Heading2"/>
      </w:pPr>
      <w:r>
        <w:t>Erwägungen</w:t>
      </w:r>
    </w:p>
    <w:p>
      <w:r>
        <w:rPr>
          <w:b/>
        </w:rPr>
        <w:t>E. 1.1</w:t>
      </w:r>
    </w:p>
    <w:p>
      <w:r>
        <w:t>En vertu de l'art. 31 de la loi fédérale du 17 juin 2005 sur le Tribunal administratif fédéral (LTAF, RS 173.32) et sous réserve des exceptions mentionnées à l'art. 32 LTAF, le Tribunal administratif fédéral connait des recours contre les décisions au sens de l'art. 5 de la loi fédérale du 20 décembre 1968 sur la procédure administrative (PA, RS 172.021) prises par les autorités mentionnées à l'art. 33 LTAF, notamment celles rendues par l'AFC (art. 33 let. d LTAF). Selon l'art. 37 LTAF, la procédure est régie par la PA, pour autant que la LTAF n'en dispose pas autrement (voir aussi art. 37 LISint). L'AFC veille à la bonne application des dispositions des accords et de la LISint, pour autant que celle-ci n'en dispose pas autrement (art. 21 al. 1 LISint). L'AFC prend toutes les mesures et rend toutes les décisions nécessaires à l'application de ces dispositions (art. 21 al. 2 LISint). Les décisions de paiement nécessaires rendues par l'AFC au sens de l'art. 28 LISint peuvent faire l'objet d'une réclamation, par écrit, dans les 30 jours suivant leur notification (art. 28 al. 1 LISint en lien avec l'art. 38 al. 1 LISint). Le recours contre les décisions sur réclamation de l'AFC est régi par les dispositions générales de la procédure fédérale (cf. art. 28 al. 4 LISint en lien avec l'art. 38 al. 4 LISint). Le Tribunal administratif fédéral est ainsi compétent pour connaître du présent recours.</w:t>
      </w:r>
    </w:p>
    <w:p>
      <w:r>
        <w:rPr>
          <w:b/>
        </w:rPr>
        <w:t>E. 1.2</w:t>
      </w:r>
    </w:p>
    <w:p>
      <w:r>
        <w:t>La recourante a qualité pour recourir en tant que destinataire de la décision attaquée (art. 48 al. 1 PA). Présenté dans le délai (art. 50 al. 1 PA) et les formes (art. 52 al. 1 PA) prescrits par la loi. Le recours est donc recevable et il convient d'entrer en matière au fond.</w:t>
      </w:r>
    </w:p>
    <w:p>
      <w:r>
        <w:rPr>
          <w:b/>
        </w:rPr>
        <w:t>E. 2</w:t>
      </w:r>
    </w:p>
    <w:p>
      <w:r>
        <w:t>La recourante peut invoquer la violation du droit fédéral, y compris l'excès ou l'abus du pouvoir d'appréciation (art. 49 let. a PA), la constatation inexacte ou incomplète des faits pertinents (art. 49 let. b PA) ainsi que l'inopportunité (art. 49 let. c PA). Le Tribunal administratif fédéral dispose ainsi d'un plein pouvoir de cognition. Il constate les faits et applique le droit d'office (art. 62 al. 4 PA). Néanmoins, il se limite en principe aux griefs invoqués et n'examine les autres points que dans la mesure où les arguments des parties ou le dossier l'y incitent (cf. notamment ATF 135 I 91 consid. 2.1; ATAF 2014/24 consid. 2.2; arrêt du TAF A-4747/2019 du 14 avril 2021 consid. 2.2.1). La procédure en matière de droit fiscal est en principe régie par la maxime inquisitoire, selon laquelle l'autorité définit les faits et apprécie les preuves d'office et librement (arrêts du TF 2C_605/2015 du 5 novembre 2015 consid. 2.3.1 s.; 2C_715/2013 du 13 janvier 2014 consid. 2.3.1; arrêts du TAF A-1635/2015 du 11 avril 2016 consid. 2; A-3060/2015 du 10 novembre 2015 consid. 1.3.2; A-1337/2007 du 21 septembre 2009 consid. 3.2; A-1506/2006 du 3 juin 2008 consid. 2.1.3). La maxime inquisitoire doit être toutefois relativisée par son corollaire, à savoir le devoir des parties, respectivement des contribuables en matière fiscale, de collaborer à l'établissement des faits (art. 52 PA; cf. ATF 144 II 427 consid. 8.3.1; arrêt du TAF A-479/2021 du 8 septembre 2021 consid. 1.4.1; A-2479/2019 du 14 juillet 2021 consid. 2.2.1).</w:t>
      </w:r>
    </w:p>
    <w:p>
      <w:r>
        <w:rPr>
          <w:b/>
        </w:rPr>
        <w:t>E. 3</w:t>
      </w:r>
    </w:p>
    <w:p>
      <w:r>
        <w:t>Dans un grief d'ordre formel, qu'il convient d'examiner en premier lieu, la recourante dénonce une violation de son droit d'être entendue du fait de l'absence de motivation permettant de comprendre l'intégration dans la base de calcul des chiffres antérieurs à l'année 2010.</w:t>
      </w:r>
    </w:p>
    <w:p>
      <w:r>
        <w:rPr>
          <w:b/>
        </w:rPr>
        <w:t>E. 3.1</w:t>
      </w:r>
    </w:p>
    <w:p>
      <w:r>
        <w:t>Une analyse du premier grief formel démontre que celui-ci a plutôt trait, en réalité, aux règles matérielles applicables en matière de calcul de la part à la perte au sens de l'art. 28 LISint qui seront traitées ultérieurement dans le présent arrêt (cf. consid. 4 et 5 infra). Cela dit, si on devait l'examiner sous l'angle du droit - découlant de l'art. 29 de la Constitution fédérale de la Confédération suisse du 18 avril 1999 (Cst., RS 101) - d'obtenir une décision motivée (voir aussi l'art. 35 al. 1 PA), ce grief ne serait pas pour autant bien fondé. En effet, à l'égard des exigences de motivation, il convient de rappeler qu'il suffit que l'autorité mentionne, au moins brièvement, les motifs qui l'ont guidée et ceux sur lesquels elle a fondé sa décision, de manière à ce que l'administré puisse se rendre compte de la portée de celle-ci et l'attaquer en connaissance de cause. L'autorité n'est ainsi pas impérativement tenue de traiter exhaustivement dans sa motivation tous les griefs qui auraient été soulevés par une partie (cf. ATF 142 II 154 consid. 4.2; 138 I 232 consid. 5.1; arrêt du TF 2C_206/2021 du 10 mars 2021 consid. 3.2; arrêt du TAF A-3061/2015 du 25 septembre 2017 consid. 3.1).</w:t>
      </w:r>
    </w:p>
    <w:p>
      <w:r>
        <w:rPr>
          <w:b/>
        </w:rPr>
        <w:t>E. 3.2</w:t>
      </w:r>
    </w:p>
    <w:p>
      <w:r>
        <w:t>En l'espèce, l'autorité inférieure a exposé dans sa décision sur réclamation du 31 janvier 2018 le calcul de la participation à la perte pour la banque et justifié l'intégration des corrections effectuées lors du contrôle de la recourante en avril 2010 en se basant essentiellement sur les divers droits que lui confère l'art. 8 al. 4 LFisE s'agissant de l'établissement des faits. Le fait que la recourante ne partage ces considérations juridiques, respectivement soit d'avis que celles-ci ne traitent pas des problèmes pertinents ne permet pas encore de conclure que le prononcé attaqué était insuffisamment motivé au sens de la jurisprudence. Dans ces conditions, il doit être retenu que le droit d'être entendue de la recourante n'a pas été violé. Son grief est donc rejeté.</w:t>
      </w:r>
    </w:p>
    <w:p>
      <w:r>
        <w:rPr>
          <w:b/>
        </w:rPr>
        <w:t>E. 4</w:t>
      </w:r>
    </w:p>
    <w:p>
      <w:r>
        <w:t>Si l'agent payeur suisse et l'AFC ne parviennent pas à un accord, celle-ci rend une décision. [...] » L'art. 36 LISint définit les prescriptions de procédure en s'inspirant des art. 8 al. 4 à 7 LFisE (FF 2012 4555, 4640). Ces deux dispositions ont ainsi une teneur semblable. Les accords prévoient en outre que l'AFC doit établir un rapport récapitulatif comprenant les principaux résultats découlant des contrôles effectués l'année précédente. Ce rapport est transmis à l'autorité compétente de l'Etat partenaire et doit lui permettre de prouver à ses organes de surveillance que l'impôt est prélevé conformément à l'accord (FF 2012 4555, 4640).</w:t>
      </w:r>
    </w:p>
    <w:p>
      <w:r>
        <w:rPr>
          <w:b/>
        </w:rPr>
        <w:t>E. 4.1</w:t>
      </w:r>
    </w:p>
    <w:p>
      <w:r>
        <w:t>L'Accord GB a été abrogé (RO 2016 5103) - sous réserve de quelques dispositions non pertinentes ici - au 1er janvier 2017, avec l'entrée en vigueur de l'échange automatique de renseignements (ci-après: EAR) au 1er janvier 2017. Cette abrogation résulte de l'art. 3 al. 1 de l'Accord du 14 novembre 2016 entre la Confédération suisse et le Royaume-Uni de Grande-Bretagne et d'Irlande du Nord relatif à l'abrogation de l'Accord GB (entré en vigueur le 1er janvier 2017; RS 0.672.936.741; ci-après: Accord du 14 novembre 2016). L'Accord du 14 novembre 2016 vise à assurer une transition ordonnée entre l'Accord GB et l'EAR relatifs aux comptes financiers entre les Etats contractants, en application de l'Accord entre la Suisse et l'UE (art. 1 de l'Accord du 14 novembre 2016). En définitive, la présente affaire doit être jugée en application de l'Accord GB (art. 3 al. 2 de l'Accord du 14 novembre 2016), ce qui n'est d'ailleurs pas contesté par les parties.</w:t>
      </w:r>
    </w:p>
    <w:p>
      <w:r>
        <w:rPr>
          <w:b/>
        </w:rPr>
        <w:t>E. 4.2.1</w:t>
      </w:r>
    </w:p>
    <w:p>
      <w:r>
        <w:t>Selon l'art. 1 al. 1 de l'Accord GB, celui-ci a pour but de garantir, par la coopération bilatérale des Etats contractants, l'imposition effective des personnes concernées au Royaume-Uni. La coopération bilatérale prévoit notamment que les avoirs de personnes concernées résidant au Royaume-Uni placés auprès d'un agent payeur suisse (notamment les banques au sens de la loi fédérale du 8 novembre 1934 sur les banques [LB, RS 952.0]), sont imposés sur la base de l'Accord GB en vue de leur régularisation (art. 1 al. 2 let. a de l'Accord GB). Les institutions de l'imposition par paiement unique ainsi que de la déclaration volontaire servent entre autres à atteindre le but précité (cf. arrêt du TF 2C_48/2015 du 20 janvier 2015 consid. 1.1; arrêt du TAF A-155/2015 du 22 juin 2015 consid. 2.1.1 et 5.3.2.1). Selon l'art. 5 de l'Accord GB, la personne concernée peut opter soit pour autoriser l'agent payeur suisse à prélever un paiement unique sur ses avoirs ayant un effet libératoire, soit pour l'autoriser à transmettre les renseignements bancaires le concernant à l'autorité compétente du Royaume-Uni (cf. Message relatif à l'approbation de l'accord avec l'Allemagne concernant la coopération en matière de fiscalité et de marchés financiers et de l'accord avec le Royaume-Uni concernant la coopération en matière de fiscalité ainsi qu'à la loi fédérale sur l'imposition internationale à la source du 18 avril 2012 [ci-après: Message du 18 avril 2012; FF 2012 4555 ss]; cf. arrêt du TAF A-790/2016 du 29 juin 2016 consid. 2.1).</w:t>
      </w:r>
    </w:p>
    <w:p>
      <w:r>
        <w:rPr>
          <w:b/>
        </w:rPr>
        <w:t>E. 4.2.2</w:t>
      </w:r>
    </w:p>
    <w:p>
      <w:r>
        <w:t>Selon l'art. 9 al. 5 de l'Accord GB, l'agent payeur suisse transfère tous les mois les paiements uniques qu'il a prélevés à l'autorité compétente suisse, à savoir l'AFC (art. 2 al. 1 let. d de l' Accord GB en lien avec l'art. 5 al. 1 LISint). L'AFC transfère à son tour, chaque mois, ces paiements à l'autorité compétente du Royaume-Uni après avoir déduit une commission de perception (art. 9 al. 5 de l'Accord GB en lien avec l'art. 35 de l'Accord GB).</w:t>
      </w:r>
    </w:p>
    <w:p>
      <w:r>
        <w:rPr>
          <w:b/>
        </w:rPr>
        <w:t>E. 4.3</w:t>
      </w:r>
    </w:p>
    <w:p>
      <w:r>
        <w:t>Selon l'art. 17 al. 2 de l'Accord GB, les agents payeurs suisses versent une avance de 500 millions de francs suisses à l'autorité compétente suisse dans un délai de 25 jours à compter de l'entrée en vigueur de l'Accord GB. L'autorité compétente suisse transfère l'avance à l'autorité compétente du Royaume-Uni dans un délai d'un mois à compter de l'entrée en vigueur de l'Accord GB. Le versement de cette avance vise à garantir une recette fiscale minimum dans le cadre de la régularisation du passé (FF 2012 4555, 4589; cf. arrêt du TAF 790/2016 du 29 juin 2016 consid. 2.2.1).</w:t>
      </w:r>
    </w:p>
    <w:p>
      <w:r>
        <w:rPr>
          <w:b/>
        </w:rPr>
        <w:t>E. 4.4</w:t>
      </w:r>
    </w:p>
    <w:p>
      <w:r>
        <w:t>Les dispositions nécessaires à l'application de l'Accord GB qui relèvent des compétences internes de l'Etat suisse et qui n'ont pas leur place dans un accord de droit international nécessitent la promulgation d'une loi fédérale d'accompagnement, à savoir la LISint (Message du 18 avril 2012, FF 2012 4556), qui s'applique à l'Accord GB (art. 1 al. 2 LISint et ch. 2 de l'annexe à la LISint). Les dispositions dérogatoires de l'accord applicable en l'espèce sont réservées (art. 1 al. 3 LISint; arrêt du TAF A-155/2015 du 22 juin 2015 consid. 2.2.1).</w:t>
      </w:r>
    </w:p>
    <w:p>
      <w:r>
        <w:rPr>
          <w:b/>
        </w:rPr>
        <w:t>E. 4.5.1</w:t>
      </w:r>
    </w:p>
    <w:p>
      <w:r>
        <w:t>L'avance payée par les agents payeurs suisses est régie à la section 7 de la LISint. L'art. 26 LISint traite des questions relatives au versement de l'avance. Selon cette disposition, l'AFC est compétente pour verser l'avance au Royaume-Uni. Le Conseil fédéral fixe la date à laquelle l'avance des agents payeurs suisses doit parvenir à l'AFC. Selon l'art. 26 al. 4 LISint, si le montant de l'avance prévu par l'accord n'a pas été entièrement versé à l'échéance du délai fixé par le Conseil fédéral, l'AFC rend les décisions de paiement nécessaires pour qu'elle soit en mesure de respecter les délais prévus par l'Accord GB.</w:t>
      </w:r>
    </w:p>
    <w:p>
      <w:r>
        <w:rPr>
          <w:b/>
        </w:rPr>
        <w:t>E. 4.5.2</w:t>
      </w:r>
    </w:p>
    <w:p>
      <w:r>
        <w:t>Selon l'art. 26 al. 5 LISint, ces décisions de paiement sont rendues envers les agents payeurs suisses dont la part est supérieure à 0.5% de la retenue d'impôt prélevée en lien avec l'Etat partenaire selon l'Accord sur la fiscalité de l'épargne. La part déterminante est celle enregistrée la dernière année pour laquelle des données statistiques ont été fournies par les agents payeurs à l'AFC avant la signature de l'Accord GB. Le montant de l'avance est réparti entre les agents payeurs suisses en fonction de leur part. Le Conseil fédéral a précisé dans le Message du 18 avril 2012 (FF 2012 4636) que: « Si l'avance reçue à la date fixée par le Conseil fédéral ne couvre pas l'intégralité de l'avance prévue par l'accord applicable, l'AFC rend les décisions de paiement nécessaires envers les agents payeurs suisses dont la part à la retenue d'impôt prélevée en lien avec l'Etat partenaire selon l'accord sur la fiscalité de l'épargne est supérieure à 0,5 %. La contribution de chaque agent payeur à l'avance est calculée d'après les données statistiques livrées à l'AFC la dernière année avant la signature de l'accord applicable. Cette clé de répartition constitue une approximation des parts de marché effectives détenues par les agents payeurs suisses en relation avec les clients [...] britanniques. Elle présente l'avantage de permettre à l'AFC de disposer déjà des données nécessaires pour répartir le solde de l'avance entre les agents payeurs et l'encaisser rapidement. La clé de répartition n'est pas manipulable puisque les données statistiques sur lesquelles elle s'appuie se rapportent à une période antérieure à la signature de l'accord applicable. Cette réglementation exclut en principe toute responsabilité de l'Etat. »</w:t>
      </w:r>
    </w:p>
    <w:p>
      <w:r>
        <w:rPr>
          <w:b/>
        </w:rPr>
        <w:t>E. 4.6</w:t>
      </w:r>
    </w:p>
    <w:p>
      <w:r>
        <w:t>Selon l'art. 17 al. 3 de l'Accord GB: « lorsque l'avance payée à l'autorité compétente du Royaume-Uni selon l'al. 2 et les paiements qui lui ont été transférés en vertu de l'art. 9 al. 5 atteignent le montant de 1300 millions de francs suisses, l'autorité compétente suisse compense l'avance au sens de l'al. 2 par les paiements ultérieurs au sens de l'art. 9 al. 5. Lorsque l'avance a été complètement compensée, les paiements suivants selon l'art. 9 al. 5 sont versés à l'autorité compétente du Royaume-Uni. ». Les agents payeurs suisses se chargent de créer une société relais qui assume leurs droits et obligations administratives en relation avec l'exécution de l'avance (art. 26 al. 1 LISint). Selon l'art. 26 al. 7 LISint, l'AFC vire aux agents payeurs suisses ou à la société relais le montant des paiements uniques compensés par l'avance en fonction de leur part à ladite avance.</w:t>
      </w:r>
    </w:p>
    <w:p>
      <w:r>
        <w:rPr>
          <w:b/>
        </w:rPr>
        <w:t>E. 4.7</w:t>
      </w:r>
    </w:p>
    <w:p>
      <w:r>
        <w:t>L'art. 28 LISint dénommé « Perte » prévoit une règlementation dans le cas où l'avance versée ne peut être entièrement compensée par les paiements uniques. Selon l'art. 28 al. 1 à 3 LISint: «1 Si l'avance versée ne peut pas être entièrement compensée par les paiements uniques, l'AFC rend les décisions de paiement nécessaires. Celles-ci s'adressent aux agents payeurs suisses dont la part est supérieure à 0,01 % de la retenue d'impôt prélevée en lien avec l'Etat partenaire selon l'accord sur la fiscalité de l'épargne. La part déterminante est celle enregistrée la dernière année pour laquelle des données statistiques ont été fournies par les agents payeurs à l'AFC avant la signature de l'accord applicable. 2 Le montant non compensé de l'avance est réparti entre les agents payeurs suisses en fonction de leur part. Si l'un d'eux a versé une contribution à l'avance, la différence entre la contribution versée et les montants virés selon l'art. 26, al. 7, est déduite de leur part. 3 L'AFC vire les montants perçus aux agents payeurs, de sorte que ceux-ci supportent la perte en fonction de leur part à la retenue d'impôt selon l'al. 1. »</w:t>
      </w:r>
    </w:p>
    <w:p>
      <w:r>
        <w:rPr>
          <w:b/>
        </w:rPr>
        <w:t>E. 4.8</w:t>
      </w:r>
    </w:p>
    <w:p>
      <w:r>
        <w:t>Selon l'art. 36 al. 1 LISint: « 1 L'AFC contrôle l'exécution des obligations des agents payeurs suisses liées à l'application de l'accord. 2 Pour élucider les faits, elle peut: a. examiner sur place les livres de l'agent payeur suisse, les pièces justificatives et tout autre document ou en exiger la production; b. requérir des renseignements oralement ou par écrit; c. entendre les représentants de l'agent payeur suisse. 3 Si l'AFC constate que l'agent payeur suisse n'a pas rempli entièrement ses obligations, elle lui donne l'occasion de s'expliquer sur les manquements constatés.</w:t>
      </w:r>
    </w:p>
    <w:p>
      <w:r>
        <w:rPr>
          <w:b/>
        </w:rPr>
        <w:t>E. 5</w:t>
      </w:r>
    </w:p>
    <w:p>
      <w:r>
        <w:t>En l'espèce, la recourante conteste le calcul de la participation à la perte, et soutient qu'il ne doit pas être tenu compte d'un correctif intervenu en mai 2010 en lien avec les prélèvements effectués au cours des années 2006 à 2009. Elle soutient à cet égard, que la jurisprudence du TF a exclu les corrections intervenues après la signature de l'Accord GB et que donc a fortiori aucune donnée antérieure ne devrait être utilisée. En outre, la prise en compte des éventuelles erreurs commises par l'agent payeur sur des années antérieures à 2010 ne peut être la solution voulue par le législateur vu les incertitudes et l'inégalité de traitement qui en résulteraient. Cette approche serait par ailleurs également confirmée par le principe de l'auto-taxation applicable ici du fait qu'en cas de reprise fiscale, celle-ci ne peut être attachée qu'à la période fiscale contrôlée et donc n'avoir un impact que sur cette même période.</w:t>
      </w:r>
    </w:p>
    <w:p>
      <w:r>
        <w:rPr>
          <w:b/>
        </w:rPr>
        <w:t>E. 5.1</w:t>
      </w:r>
    </w:p>
    <w:p>
      <w:r>
        <w:t>Il sied de relever que la Cour de céans a déjà procédé à l'interprétation de l'art. 28 al. 1 LISint dans le cadre d'une autre affaire qui consistait à déterminer si la part de l'agent payeur était supérieure à 0.01% de la retenue d'impôt prélevée en lien avec l'Etat partenaire selon l'accord sur la fiscalité de l'épargne (cf. arrêt du TAF A-790/2016 du 29 juin 2016, confirmé par l'arrêt du TF 2C_654/2016 du 17 mars 2017).</w:t>
      </w:r>
    </w:p>
    <w:p>
      <w:r>
        <w:rPr>
          <w:b/>
        </w:rPr>
        <w:t>E. 5.2</w:t>
      </w:r>
    </w:p>
    <w:p>
      <w:r>
        <w:t>En premier lieu, la Cour de céans a retenu dans son arrêt de 2016 que la période déterminante par la retenue d'impôt était certes l'année 2010 (« [...] das Steuerjahr 2010 für die Bemessung des Steuerrückbehaltes massgebend ist [...] » cf. arrêt du TAF A-790/2016 du 29 juin 2016 consid. 4.1 et 6.2), tout en précisant que le calcul effectué par l'autorité inférieure ne prêtait pas le flanc à la critique: « Vor diesem Hintergrund hat die Vorinstanz bei ihrer Berechnung des von der Beschwerdeführerin zu bezahlenden Betrages vom gesamten Steuerrückbehalt 2010 betreffend das Vereinigte Königreich (Fr. 24'511'416.85) zu Recht das Total des Steuerrückbehaltes abzogen, das auf die für den Ausfall nicht zahlungspflichtigen Zahlstellen entfällt (Abzug von Fr. 69'036.73). In rechnerischer Hinsicht wird der angefochtene Einspracheentscheid im Übrigen zu Recht nicht beanstandet » (cf. arrêt du TAF A-790/2016 du 29 juin 2016 consid. 6.2 in fine). Le TF l'a d'ailleurs confirmé: « Die Vorinstanz hat demnach zu Recht das Vorgehen der ESTV geschützt, welche der Berechnung, ob die Beschwerdeführerin in den Kreis der an der Ausfallregelung zu beteiligenden Zahlstellen fällt, die von dieser gemeldeten Steuerrückbehalte zugrunde legte » (arrêt du TF 2C_654/2016 du 17 mars 2017 consid. 3.6).</w:t>
      </w:r>
    </w:p>
    <w:p>
      <w:r>
        <w:rPr>
          <w:b/>
        </w:rPr>
        <w:t>E. 5.3.1</w:t>
      </w:r>
    </w:p>
    <w:p>
      <w:r>
        <w:t>En second lieu, il sied de rappeler que, dans ce même arrêt, le Tribunal de céans a considéré que la volonté du législateur était sans équivoque et correspondait au texte clair de la loi, en ce sens qu'aucune modification postérieure à la signature de l'Accord GB le 6 octobre 2011 ne pouvait être prise en compte pour déterminer la part de 0.01% lorsque des corrections émanent de l'agent payeur (cf. arrêt du TAF A-790/2016 du 29 juin 2016 consid. 3 et 4 pour l'interprétation détaillée de l'art. 28 LISint; confirmé par l'arrêt du TF 2C_654/2016 du 17 mars 2017). Dans ce contexte, le TF a précisément indiqué que pour le calcul de la part à la perte (art. 28 al. 2 LISint), l'AFC était fondée à s'appuyer uniquement sur la statistique officielle des retenues annoncées pour 2010 et non pas sur le montant effectif de la retenue d'impôt, car sinon cela amènerait l'autorité fiscale à entreprendre deux calculs (« Auch bezüglich der konkreten Berechnung des Ausfalls könnte der von der Beschwerdeführerin vertretene Ansatz eine theoretische Vorgehensmöglichkeit darstellen, was immerhin bedeuten würde, dass die ESTV zwei Berechnungen vornehmen müsste, nämlich einerseits eine erste aufgrund der gemeldeten statistischen Angaben sowie eine zweite aufgrund der effektiven, korrigierten und kontrollierten Abrechnungen der Zahlstellen. Abgesehen davon, dass dies - wie eben ausgeführt - weder mit dem Wortlaut der Bestimmung noch deren Entstehungsgeschichte in Einklang steht, sind keinerlei Anhaltspunkte ersichtlich, wonach eine solche Lösung dem Zweck der Regelung besser entsprechen würde », cf. arrêt du TF 2C_654/2016 du 17 mars 2017 consid. 4).</w:t>
      </w:r>
    </w:p>
    <w:p>
      <w:r>
        <w:rPr>
          <w:b/>
        </w:rPr>
        <w:t>E. 5.3.2</w:t>
      </w:r>
    </w:p>
    <w:p>
      <w:r>
        <w:t>Le TF a en outre retenu que l'interprétation de l'art. 28 al. 2 LISint correspondait à celle de l'art. 28 al. 1 LISint (« Aus der Entstehungsgeschichte der Regelung ergibt sich, dass mit dem Anteil nach Absatz 2 genau dasselbe gemeint ist, wie mit dem Anteil nach Absatz 1 », cf. arrêt du TF 2C_654/2016 du 17 mars 2017 consid. 4) et que la volonté du législateur était de s'en tenir au texte de la loi (« Die Vorinstanz hat sich mit der Entstehungsgeschichte von Art. 28 Abs. 1 IQG einlässlich auseinandergesetzt und dargelegt, dass im Rahmen des historischen Auslegungselements einzig entscheidend sei, ob sich den Materialien Hinweise für die Annahme entnehmen lassen, dass der Gesetzgeber eine Abweichung vom klaren Wortlaut wollte. Solche Hinweise würden nicht vorliegen », cf. arrêt du TF 2C_654/2016 du 17 mars 2017 consid. 3.5.1). A toutes fins utiles, il sera rappelé que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(cf. ATF 138 II 536 consid. 5.4.3; 131 I 394 consid. 3.2).</w:t>
      </w:r>
    </w:p>
    <w:p>
      <w:r>
        <w:rPr>
          <w:b/>
        </w:rPr>
        <w:t>E. 5.4</w:t>
      </w:r>
    </w:p>
    <w:p>
      <w:r>
        <w:t>Le montant de CHF 24'511'416.85 qui sert de base de calcul pour répartir la perte entre les agents payeurs découle du produit de la retenue de l'impôt UE conformément à l'ancien Accord du 26 octobre 2004 entre la Confédération suisse et la Communauté européenne prévoyant des mesures équivalentes à celles prévues dans la directive 2003/48/CE du Conseil en matière de fiscalité des revenus de l'épargne sous forme de paiements d'intérêts (RO 2005 2571, ci-après: AFisE) pour l'année 2010 qui s'élevait à CHF 18'383'562.64 pour le Royaume-Uni (cf. https://www.newsd.admin.ch/newsd/message/attachments/23324.pdf, consulté le 01.11.2021). La somme précitée correspond au 75% de la recette générée de la retenue de l'impôt, étant donné que la Suisse conserve le 25% (art. 8 al. 1 AFisE). Il découle de ce qui précède que le montant de CHF 24'511'416.85 correspondait au 100% (art. 8 al. 1 AFisE). Pour rappel, de ce montant, la part afférente aux agents payeurs dont la part est inférieure à 0.01% est déduite, soit CHF 69'036.73, arrêtant ainsi le montant de référence pour la répartition de la perte à CHF 24'442'380.12.</w:t>
      </w:r>
    </w:p>
    <w:p>
      <w:r>
        <w:rPr>
          <w:b/>
        </w:rPr>
        <w:t>E. 5.5</w:t>
      </w:r>
    </w:p>
    <w:p>
      <w:r>
        <w:t>Il ressort des explications fournies par l'AFC dans sa réponse du 10 avril 2018, que l'objectif poursuivi par l'art. 28 LISint - qui consisterait à arrêter une base de calcul fiable et définitive - exclurait uniquement les rectifications intervenues après la signature de l'accord pour des raisons de sécurité juridique. Ainsi, toutes les données en possession de l'autorité inférieure avant la conclusion dudit accord devraient être prises en compte en vue d'établir la clé de répartition. En outre, tenant compte de la logique inhérente au système de régularisation résultant de l'impôt libératoire à la source, il y aurait lieu d'aborder la part de marché des agents payeurs de manière globale. Sur la base de ces développements, ce serait donc à juste titre que l'AFC tiendrait compte de l'ensemble des données en sa possession pour la période précédant la conclusion de l'accord, soit non seulement le formulaire 150 fourni par la recourante, mais également les décomptes rectificatifs intervenus dans le courant de l'année 2010. On peut certes se demander si cette manière de procéder est correcte. A première vue, une lecture littérale de l'art. 28 LISint peut conduire à penser que le calcul des pertes devrait être uniquement réalisé à partir des données fournies en 2010, plus les éventuelles corrections concernant l'année 2010 qui auraient pu être prises en compte avant la date du 6 octobre 2011 correspondant à la signature de l'Accord GB. Mais ce serait oublier deux éléments déterminants pour l'analyse du cas d'espèce: premièrement, le fait que le chiffre de référence pour le calcul de la répartition de la perte entre les agents payeurs, soit CHF 24'442'380.12, a été confirmé et par la Cour de céans et par le TF (cf. consid. 5.2, supra); deuxièmement, l'aspect forfaitaire que présente le calcul de la participation aux pertes, tel que déterminé par le législateur selon ce qu'a retenu le TF dans son jugement précité du 17 mars 2017 («Aus der Regelung betreffend die Vergangenheitsregularisierung - insbesondere aus dem Umstand, dass die schweizerischen Zahlstellen Vorauszahlungen leisten müssen, diese im Rahmen einer Selbstregulierung selber festlegen können und die ESTV (soweit der im Abkommen festgelegte Betrag am Stichtag nicht vollständig geleistet ist) Zahlungsverfügungen für den Fehlbetrag basierend auf statistischen Angaben festsetzen kann (vgl. Art. 26 IQG, insb. Abs. 5) - ergibt sich jedoch, dass das Gesetz in Bezug auf die Vergangenheitsregularisierung offensichtlich einem Pauschalierungsansatz folgt und nicht die Lastenverteilung aufgrund der effektiven - und allenfalls nachträglich kontrollierten und korrigierten - Kundenbeziehungen im Fokus hat. Dieser Schluss wird auch durch die entsprechende Ausgestaltung der Ausfallregelung bestätigt, ist doch auch dort explizit von statistischen Angaben die Rede (vgl. Art. 28 Abs. 1 IQG) », cf. arrêt du TF 2C_654/2016 du 17 mars 2017 consid. 3.5.2). Par conséquent, à partir du moment où il ne s'agit pas de s'appuyer sur le montant effectif de la retenue pour 2010, mais sur les valeurs statistiques officielles publiées par l'AFC (cf. consid. 5.3.1 supra), qu'il puisse y avoir une certaine inégalité de traitement entre les agents payeurs qui ont été contrôlés en 2010 avec reprise à la clé (entrainant ainsi une augmentation proportionnelle de leur taux de participation aux pertes) et ceux qui n'ont pas fait l'objet d'un contrôle au cours de la même année est supporté par l'aspect forfaitaire découlant du système voulu par le législateur.</w:t>
      </w:r>
    </w:p>
    <w:p>
      <w:r>
        <w:rPr>
          <w:b/>
        </w:rPr>
        <w:t>E. 5.6</w:t>
      </w:r>
    </w:p>
    <w:p>
      <w:r>
        <w:t>En effet, comme déjà relevé à plusieurs reprises, le but poursuivi par le calcul de l'art. 28 LISint n'est pas de déterminer la part exacte de chaque agent payeur mais, au contraire, uniquement de disposer rapidement d'un montant approximatif correspondant aux parts de marché, comme l'a relevé à juste titre l'autorité inférieure (cf. réponse p. 2; FF 2012 4555, 4636). Cette solution présente l'avantage de permettre à l'AFC de disposer rapidement des données nécessaires pour répartir le solde de l'avance entre les agents payeurs et de l'encaisser dans les meilleurs délais. La clé de répartition n'est pas manipulable puisque les données statistiques sur lesquelles elle s'appuie se rapportent à une période antérieure à la signature de l'accord applicable (cf. FF 2012 4555, 4636; consid. 5.3.1 supra). Ainsi, il apparait que les éventuelles disparités pouvant exister entre les différents agents payeurs ayant subi un contrôle ou non découlent de la volonté du législateur. En effet, il convient de préciser ici que l'exécution de contrôles est conforme à la législation applicable (art. 36 LISint; art. 8 LFisE). Or, le caractère aléatoire des contrôles induit forcément des différences entre les agents payeurs, qui - en raison du principe de l'économie de perception et faute de moyens suffisants de la part de l'AFC - ne peuvent être tous systématiquement contrôlés chaque année. A toutes fins utiles, la Cour de céans a, par ailleurs, exclu que cette manière de procéder puisse violer le principe d'égalité (art. 8 Cst.) sous trois angles différents impliquant les agents payeurs (cf. arrêt du TAF A-790/2016 du 29 juin 2016 consid. 4.6.1).</w:t>
      </w:r>
    </w:p>
    <w:p>
      <w:r>
        <w:rPr>
          <w:b/>
        </w:rPr>
        <w:t>E. 5.7</w:t>
      </w:r>
    </w:p>
    <w:p>
      <w:r>
        <w:t>Le calcul des sommes corrigées pour les années 2006 à 2009 et intégré dans le résultat de l'année 2010 n'est pas remis en question par la recourante. Elle conteste uniquement le fait que ces montants aient été pris en compte pour le calcul de la participation à la perte. A suivre toutefois le raisonnement de la recourante, à savoir de déduire les rattrapages des années 2006 à 2009 du montant inscrit dans le formulaire 150, on devrait alors également revoir à la baisse le montant total des retenues de l'impôt 2010 pour le Royaume-Uni de CHF 24'511'416.85 comprenant lesdits rattrapages. En effet, si on ne le fait pas, les autres agents payeurs supporteraient alors une charge proportionnellement plus importante. Or, pour rappel, le montant de CHF 24'511'416.85 a été arrêté par l'autorité inférieure et confirmé par le Tribunal et le TF (cf. consid. 5.2 supra).</w:t>
      </w:r>
    </w:p>
    <w:p>
      <w:r>
        <w:rPr>
          <w:b/>
        </w:rPr>
        <w:t>E. 6</w:t>
      </w:r>
    </w:p>
    <w:p>
      <w:r>
        <w:t>Les considérants qui précèdent conduisent le Tribunal de céans à rejeter le recours déposé le 1er mars 2018 contre la décision sur réclamation de l'autorité inférieure du 31 janvier 2018. Vu l'issue de la cause, les frais de procédure, d'un montant total de 8'500 francs, sont mis à la charge de la recourante, en application de l'art. 63 al. 1 PA et des art. 1 ss du Règlement du 21 février 2008 concernant les frais, dépens et indemnités fixés par le Tribunal administratif fédéral (FITAF, RS 173.320.2). Ce montant est prélevé sur l'avance des frais présumés de procédure du même montant déjà versée. Une indemnité à titre de dépens n'est allouée ni à la recourante (cf. art. 64 al. 1 PA a contrario et art. 7 al. 1 FITAF a contrario), ni à l'autorité inférieure (cf. art. 7 al. 3 FITAF).</w:t>
      </w:r>
    </w:p>
    <w:p>
      <w:r>
        <w:rPr>
          <w:b/>
        </w:rPr>
        <w:t>E. 7</w:t>
      </w:r>
    </w:p>
    <w:p>
      <w:r>
        <w:t>La présente décision est rendue dans le cadre d'un litige de droit interne suisse sans aucune élément d'extranéité. Il convient ainsi d'appliquer les règles générales applicables aux recours en matière de droit public (cf. arrêt du TF 2C_654/2016 du 17 mars 2017 consid. 1.2.3; art. 82 LTF; art. 84a LTF et 100 al. 2 let. b LTF a contrario).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