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A-1276/2008 vom 1. September 2009</w:t>
      </w:r>
    </w:p>
    <w:p>
      <w:r>
        <w:t>Bundesverwaltungsgericht, 2009-09-01, DE</w:t>
      </w:r>
    </w:p>
    <w:p>
      <w:r>
        <w:rPr>
          <w:b/>
        </w:rPr>
        <w:t xml:space="preserve">Quelle: </w:t>
      </w:r>
      <w:r>
        <w:t>https://mcp.opencaselaw.ch/entscheid/bvger_A-1276_2008</w:t>
      </w:r>
    </w:p>
    <w:p>
      <w:r>
        <w:t>FR: TAF A-1276/2008 du 1 septembre 2009</w:t>
      </w:r>
    </w:p>
    <w:p>
      <w:r>
        <w:t>IT: TAF A-1276/2008 del 1 settembre 2009</w:t>
      </w:r>
    </w:p>
    <w:p>
      <w:pPr>
        <w:pStyle w:val="Heading2"/>
      </w:pPr>
      <w:r>
        <w:t>Regeste</w:t>
      </w:r>
    </w:p>
    <w:p>
      <w:r>
        <w:t>Mineralölsteuer","Zölle","Mehrwertsteuer</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 soweit das VGG nichts anderes bestimmt - nach den Vorschriften des VwVG. Die Beschwerdeführerin ist durch den angefochtenen Entscheid berührt und hat ein schutzwürdiges Interesse an dessen Aufhebung (Art. 48 VwVG). Auf die form- und fristgerecht eingereichte Beschwerde ist deshalb einzutreten.</w:t>
      </w:r>
    </w:p>
    <w:p>
      <w:r>
        <w:rPr>
          <w:b/>
        </w:rPr>
        <w:t>E. 1.2</w:t>
      </w:r>
    </w:p>
    <w:p>
      <w:r>
        <w:t>Streitgegenstand bildet vorliegend einzig die Eintretensfrage. Nach der Rechtsprechung des Bundesgerichts ist derjenige, auf dessen Begehren bzw. Rechtsmittel nicht eingetreten worden ist, befugt, durch die ordentliche Beschwerdeinstanz überprüfen zu lassen, ob dieser Nichteintretensentscheid zu Recht ergangen ist (statt vieler: BGE 124 II 499 E. 1, mit weiteren Hinweisen; vgl. auch BGE 132 V 74 E. 1.1; vgl. statt vieler: Urteil des Bundesverwaltungsgerichts A-1625/2006 vom 15. Dezember 2008 E. 1.2.2).</w:t>
      </w:r>
    </w:p>
    <w:p>
      <w:r>
        <w:rPr>
          <w:b/>
        </w:rPr>
        <w:t>E. 2.1</w:t>
      </w:r>
    </w:p>
    <w:p>
      <w:r>
        <w:t>Als Prozessvoraussetzungen - auch Sachurteilsvoraussetzungen genannt - werden die Vorbedingungen bezeichnet, die erfüllt sein müssen, damit die Behörde eine Beschwerde zu behandeln und darüber materiell zu befinden hat (vgl. THOMAS MERKLI/ARTHUR AESCHLIMANN/RUTH HERZOG, Kommentar zum bernischen VPRG, Bern 1997, N. 6 zu Art. 51 Abs. 2; vgl. auch ALFRED KÖLZ/ISABELLE HÄNER, Verwaltungsverfahren und Verwaltungsrechtspflege des Bundes, 2. Aufl., Zürich 1998, S. 150). 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Entscheides in der gleichen Sache (vgl. KÖLZ/ HÄNER, a.a.O., S. 150; MERKLI/AESCHLIMANN/HERZOG, a.a.O., N. 10 zu Art. 51 Abs. 2). Damit die Rechtsmittelinstanz auf eine Beschwerde eintritt und diese materiell behandelt, müssen die Prozessvoraussetzungen nachgewiesen sein. Die angerufene Behörde prüft sie von Amtes wegen. Wenn sie die Prozessvoraussetzungen als erfüllt erachtet, stellt sie dies im Allgemeinen nicht gesondert (in einer Zwischenverfügung), sondern mit dem Entscheid in der Sache fest. Fehlt eine Prozessvoraussetzung, erlässt sie einen Nichteintretensentscheid. Eine Anfechtung wegen Fehlens einer Prozessvoraussetzung kann daher erst mit dem Endentscheid erfolgen (KÖLZ/HÄNER, a.a.O., S. 150 f.; MERKLI/AESCHLIMANN/HERZOG, a.a.O., N. 6 zu Art. 51 Abs. 2).</w:t>
      </w:r>
    </w:p>
    <w:p>
      <w:r>
        <w:rPr>
          <w:b/>
        </w:rPr>
        <w:t>E. 2.1.1</w:t>
      </w:r>
    </w:p>
    <w:p>
      <w:r>
        <w:t>Die allgemeine Frist zur Einreichung einer Beschwerde gegen eine Verfügung beträgt 30 Tage (Art. 50 Abs. 1 VwVG). Die nach Tagen berechnete, mitteilungsbedürftige Frist beginnt an dem auf ihre Mitteilung (Eröffnung) an die Partei folgenden Tag zu laufen (Art. 20 Abs. 1 VwVG). Die Frist für eine schriftliche Eingabe ist gewahrt, wenn sie am letzten Tag der Frist (spätestens Mitternacht) der Behörde eingereicht oder zu deren Handen der schweizerischen Post oder einer schweizerischen diplomatischen oder konsularischen Vertretung übergeben wird (Art. 21 Abs. 1 VwVG; vgl. BERNARD MAÎTRE/VANESSA THALMANN [FABIA BOCHSLER/KASPAR PLÜSS], in: Waldmann/Weissenberger [Hrsg.], Praxiskommentar zum Bundesgesetz über das Verwaltungsverfahren, Zürich/Basel/Genf 2009, N. 5 zu Art. 21). Während die Behörden die Beweislast dafür tragen, dass ihre Verfügungen rechtsgültig eröffnet wurden, hat der Beschwerdeführer den Beweis zu erbringen, dass er die Beschwerdefrist eingehalten hat (Stefan Vogel, in: Auer/ Müller/Schindler [Hrsg.], Kommentar zum Bundesgesetz über das Verwaltungsverfahren, Zürich/St. Gallen 2008, Rz. 8 zu Art. 50). Die Rechtsmittelfristen sind die wichtigsten gesetzlichen Fristen (vgl. BGE 126 III 31 E. 1b). Sie können nicht erstreckt werden (Art. 22 Abs. 1 VwVG). 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(Vogel, a.a.O., Rz. 2 zu Art. 50). Läuft die Rechtsmittelfrist unbenutzt ab, gilt das Beschwerderecht als verwirkt und die Verfügung erwächst in formelle Rechtskraft (vgl. MAÎTRE/THALMANN, a.a.O., N. 16 zu Art. 21). Die formelle Rechtskraft einer Verfügung bedeutet, dass sie von den Betroffenen nicht mehr mit ordentlichen Rechtsmitteln angefochten werden kann (Ulrich Häfelin/Georg Müller/Felix Uhlmann, Allgemeines Verwaltungsrecht, 5. Aufl., Zürich/ Basel/Genf 2006, Rz. 990). Auf eine Beschwerde gegen eine formell rechtskräftige Verfügung bzw. einen formell rechtskräftigen Entscheid tritt die Beschwerdeinstanz wegen Fehlens einer der Prozessvoraussetzungen (es sei denn, es handle sich um ein Wiederaufnahme- bzw. Revisionsbegehren, einen Widerruf, eine Wiedererwägung oder eine Berichtigung) nicht ein (vgl. Vogel, a.a.O., Rz. 5 zu Art. 50; Kölz/Häner, a.a.O., S. 150; vgl. auch oben, E. 2.1).</w:t>
      </w:r>
    </w:p>
    <w:p>
      <w:r>
        <w:rPr>
          <w:b/>
        </w:rPr>
        <w:t>E. 2.1.2</w:t>
      </w:r>
    </w:p>
    <w:p>
      <w:r>
        <w:t>In inhaltlicher und formeller Hinsicht verlangt Art. 52 Abs. 1 VwVG unter anderem, dass die Beschwerdeschrift die Begehren, deren Begründung mit Angabe der Beweismittel und die Unterschrift des Beschwerdeführers oder seines Vertreters zu enthalten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Lediglich in Ausnahmefällen, nämlich dann, wenn der aussergewöhnliche Umfang oder die besondere Schwierigkeit einer Beschwerdesache es erfordern, gestattet die Beschwerdeinstanz dem Beschwerdeführer, der darum ersucht, in einer sonst ordnungsgemäss eingereichten Beschwerde, deren Begründung innert einer angemessenen Nachfrist zu ergänzen (Art. 53 VwVG). Die Bestimmung soll dem Umstand Rechnung tragen, dass es in komplexen Beschwerdesachen mitunter kaum machbar ist, die Begründung innert der gesetzlichen Beschwerdefrist vollständig auszuarbeiten (BGE 112 Ib 634 E. 2c; vgl. ANDRÉ MOSER/MICHAEL BEUSCH/LORENZ KNEUBÜHLER, Prozessieren vor dem Bundesverwaltungsgericht, Basel 2008, Rz. 2.241 f.).</w:t>
      </w:r>
    </w:p>
    <w:p>
      <w:r>
        <w:rPr>
          <w:b/>
        </w:rPr>
        <w:t>E. 2.2</w:t>
      </w:r>
    </w:p>
    <w:p>
      <w:r>
        <w:t>Der in Art. 9 der Bundesverfassung der Schweizerischen Eidgenossenschaft vom 18. April 1999 (BV, SR 101) verankerte Schutz von Treu und Glauben bedeutet, dass der Bürger Anspruch darauf hat, in seinem berechtigten Vertrauen in (selbst unrichtige) behördliche Zusicherungen oder in anderes, bestimmte Erwartungen begründendes Verhalten der Behörden geschützt zu werden (BGE 129 I 161 E. 4.1, 126 II 377 E. 3a; Häfelin/Müller/Uhlmann, a.a.O., Rz. 622 ff., insbesondere Rz. 668 ff.; Pierre Moor, Droit administratif, Band I, 2. Aufl., Bern 1994, S. 428 ff.).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Nicht jede behördliche Auskunft eignet sich als Vertrauensbasis. Notwendig ist eine gewisse inhaltliche Bestimmtheit; eine lediglich vage Absichtskundgabe genügt nicht. Es müssen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wobei auf die individuellen Fähigkeiten und Kenntnisse der sich auf Vertrauensschutz berufenden Person abzustellen ist, weshalb von einem Rechtsanwalt erhöhte Rechtskenntnisse vorausgesetzt werden können (vgl. BGE 127 I 36 E. 3b);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161 E. 4.1, 127 I 31 E. 3a, Urteile des Bundesgerichts 2A.455/2006 vom 1. März 2007 E. 3.2, 2A.83/2006 vom 18. Oktober 2006 E. 7.1; Urteile des Bundesverwaltungsgerichts A-1500/2006 vom 1. Oktober 2008 E. 3.1, A-1419/2006 vom 31. Oktober 2007 E. 7.1, A-1520/2006 vom 29. August 2007 E. 3; Häfelin/Müller/Uhlmann, a.a.O., Rz. 626 ff.,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3.1</w:t>
      </w:r>
    </w:p>
    <w:p>
      <w:r>
        <w:t>Vorliegend bestreitet die Beschwerdeführerin grundsätzlich nicht, die Beschwerde am 8. Juni 2007 - und somit nach Ablauf der gesetzlichen Rechtsmittelfrist - der Post übergeben zu haben. Sie argumentiert, die Vorinstanz hätte ihr keine Frist zur Beschwerdeergänzung gemäss Art. 53 VwVG ansetzen dürfen, wenn die Beschwerde im Übrigen nicht ordnungsgemäss - wozu auch die Überprüfung der Rechtzeitigkeit der Beschwerde gehöre - eingereicht worden sei. Die Vorinstanz habe dadurch eine Vertrauensgrundlage betreffend die ordnungsgemässe Einreichung der Beschwerde geschaffen. Wäre die Vorinstanz nicht dazu verpflichtet, die ordnungsgemässe Einreichung einer Beschwerde bei deren Eingang zu prüfen, würde in Kauf genommen, dass dem Rechtssuchenden Aufwendungen in finanzieller und zeitlicher Hinsicht entstünden, welche sich nachträglich als von vornherein nutzlos erweisen würden. Solches Handeln sei stossend und dürfe keinen Rechtsschutz finden.</w:t>
      </w:r>
    </w:p>
    <w:p>
      <w:r>
        <w:rPr>
          <w:b/>
        </w:rPr>
        <w:t>E. 3.2</w:t>
      </w:r>
    </w:p>
    <w:p>
      <w:r>
        <w:t>Zunächst ist zu prüfen, ob das Schreiben der OZD vom 14. Juni 2007 überhaupt geeignet ist, eine Vertrauensgrundlage mit dem von der Beschwerdeführerin behaupteten Inhalt zu schaffen. In dem diskutierten Schreiben wird der Empfang der Beschwerde bestätigt und eine Nachfrist zur Beschwerdeergänzung angesetzt. Zu den Prozessvoraussetzungen, namentlich zur Wahrung der Beschwerdefrist, äussert sich das Schreiben indes nicht. Die Beschwerdeführerin leitet vielmehr aus dem Umstand der (antragsgemäss) angeordneten Fristansetzung zur Beschwerdeergänzung ab, die Vorinstanz erachte die Prozessvoraussetzungen als erfüllt. Da sich das Schreiben nicht zur Fristwahrung äussert, erscheint bereits deshalb fraglich, ob dieses überhaupt als behördliche Auskunft bzw. Zusicherung gewertet werden kann, die darüber hinaus geeignet ist, die von der Beschwerdeführerin geltend gemachte Erwartung auszulösen, die OZD erachte die Beschwerde als rechtzeitig eingereicht (vgl. E. 2.2). Dies kann jedoch letztlich offen bleiben, weil nach Auffassung des Bundesverwaltungsgerichts jedenfalls die Beschwerdeführerin diesen Schluss daraus sowieso nicht hat folgern dürfen: In Fragen des Vertrauensschutzes ist nämlich auf die individuellen Fähigkeiten der sich darauf berufenden Person abzustellen (vgl. E. 2.2). Die Beschwerdeführerin ist anwaltlich vertreten. Von einem Anwalt wird erwartet, dass er die im Prozess derart zentrale Rechtsmittelfrist korrekt berechnet. Er hat deshalb bereits bei Einreichung der Beschwerde wissen müssen, dass die gesetzliche, nicht erstreckbare Rechtsmittelfrist (worauf er im Übrigen ausdrücklich hingewiesen worden ist, vgl. E. C) abgelaufen und die Verfügung über die Leistungspflicht formell rechtskräftig geworden war (vgl. E. 2.1.1). Als Rechtskundiger kennt er die an die formelle Rechtskraft geknüpften Folgen (vgl. E. 2.1.1). Schon deshalb hat er aus diesem Schreiben den von ihm gezogenen Schluss gar nicht ziehen dürfen. Er hat folglich nicht gutgläubig davon ausgehen dürfen, auf die Beschwerde werde trotz verspäteter Einreichung eingetreten.</w:t>
      </w:r>
    </w:p>
    <w:p>
      <w:r>
        <w:rPr>
          <w:b/>
        </w:rPr>
        <w:t>E. 3.3</w:t>
      </w:r>
    </w:p>
    <w:p>
      <w:r>
        <w:t>Auch die übrigen von der Beschwerdeführerin vorgebrachten Argumente vermögen daran nichts zu ändern:</w:t>
      </w:r>
    </w:p>
    <w:p>
      <w:r>
        <w:rPr>
          <w:b/>
        </w:rPr>
        <w:t>E. 3.3.1</w:t>
      </w:r>
    </w:p>
    <w:p>
      <w:r>
        <w:t>Die Beschwerdeführerin behauptet, die Vorinstanz sei verpflichtet gewesen, die Rechtzeitigkeit der Beschwerdeerhebung im Zeitpunkt des Beschwerdeeingangs zu prüfen. Richtig ist, dass die Beschwerdeinstanz die Erfüllung der Prozessvoraussetzungen von Amtes wegen zu prüfen hat (vgl. E. 2.1). Die Vorinstanz legt zutreffend dar, die Erfordernisse betreffend Inhalt und Form der Beschwerdeschrift gemäss den Artikeln 52 und 53 VwVG (vgl. E. 2.1.2) liessen sich aus der Beschwerdeschrift selber erkennen, weshalb sie die Erfüllung dieser Voraussetzungen bei Eingang der Beschwerde ohne weiteres beurteilen und allenfalls entsprechend reagieren könne. Die Einhaltung der Beschwerdefrist hingegen könne sie erst nach Erhalt der Akten von ihrer Vorinstanz (der Zollkreisdirektion), die die entsprechenden Belege betreffend den Zeitpunkt der von der Behörde nachzuweisenden Eröffnung des angefochtenen Entscheides enthielten, überprüfen. So kann es also dazu kommen, dass die Vorinstanz eine Frist zur Verbesserung einer Beschwerde ansetzt, von der sich nachträglich herausstellt, dass - wie vorliegend - die Prozessvoraussetzung der Fristwahrung (vgl. E. 2.1.1) nicht erfüllt ist. Unter prozessökonomischen Gesichtspunkten wäre sicherlich wünschbar, derartige Situationen zu vermeiden, indem bei Eingang der Beschwerde gleichzeitig auch - allenfalls mittels umgehender Anforderung der entsprechenden Angaben bei der jeweiligen Vorinstanz - die Einhaltung der Beschwerdefrist überprüft wird. Zugunsten der Vorinstanz lässt sich im vorliegenden Fall immerhin festhalten, dass die Nicht-Einhaltung der Beschwerdefrist nicht offensichtlich war, also quasi nicht "ins Auge springen" musste. Jedenfalls erweist sich das Vorgehen der OZD als in Übereinstimmung mit den gesetzlichen Bestimmungen. Entgegen der Behauptung der Beschwerdeführerin existiert keine (gesetzliche) Verpflichtung, die Prozessvoraussetzungen, namentlich die Fristwahrung, im Zeitpunkt des Eingangs der Beschwerde zu prüfen und entsprechend zu reagieren. Ob die Prozessvoraussetzungen erfüllt sind, muss überdies nicht gesondert festgestellt werden. Darüber wird erst im Entscheid in der Sache befunden bzw. bei Fehlen der Prozessvoraussetzungen wird ein Nichteintretensentscheid gefällt (vgl. E. 2.1, 2.1.1). Auch unter diesen Gesichtspunkten hat die Beschwerdeführerin bzw. ihr Anwalt, aus dem Umstand der Gewährung einer Nachfrist zur Beschwerdeergänzung nicht folgern dürfen, die Beschwerde sei bereits von der angerufenen Instanz auch auf die Einhaltung der Beschwerdefrist hin überprüft und als rechtzeitig erhoben entgegen genommen worden.</w:t>
      </w:r>
    </w:p>
    <w:p>
      <w:r>
        <w:rPr>
          <w:b/>
        </w:rPr>
        <w:t>E. 3.3.2</w:t>
      </w:r>
    </w:p>
    <w:p>
      <w:r>
        <w:t>Die Beschwerdeführerin leitet auch aus dem Wortlaut von Art. 53 VwVG ab, die Nachfrist dürfe nur gewährt werden, wenn die Beschwerdefrist (Art. 50 VwVG) eingehalten sei. Dieser Einwand erweist sich aus gesetzessystematischen Überlegungen als unzutreffend. Die Artikel 53 und 52 VwVG befinden sich unter der Randnote G (des 3. Abschnittes) mit dem Randtitel "Beschwerdeschrift" ("II. Inhalt und Form" [Art. 52] und "III. Ergänzende Beschwerdeschrift" [Art. 53]). Art. 53 VwVG nimmt demnach auf Art. 52 VwVG Bezug, wenn er bestimmt, dass eine Nachfrist nur angesetzt werden darf, wenn die Beschwerdeschrift ansonsten den gesetzlichen Anforderungen genügt. Diese Bestimmung kann sich somit bereits aufgrund ihrer systematischen Stellung nicht auf den unter der Randnote F mit dem Randtitel "Beschwerdefrist" aufgeführten Art. 50 VwVG beziehen. Nichts anderes ergibt sich aus dem von der Beschwerdeführerin angerufenen Entscheid des Bundesgerichts 112 Ib 634. Dieser bestätigt vielmehr die eben dargelegte Auslegung, wird doch darin ausdrücklich festgehalten, dass Art. 53 VwVG in aussergewöhnlich umfangreichen oder besonders schwierigen Beschwerdesachen der Ergänzung der (vorhandenen) Begründung einer ansonsten "ordnungsgemäss eingereichten, d.h. den Anforderungen von Art. 52 VwVG genügenden Beschwerde" diene (BGE 112 Ib 634 E. 2c).</w:t>
      </w:r>
    </w:p>
    <w:p>
      <w:r>
        <w:rPr>
          <w:b/>
        </w:rPr>
        <w:t>E. 3.4</w:t>
      </w:r>
    </w:p>
    <w:p>
      <w:r>
        <w:t>Nach dem Gesagten fehlt es an der für eine erfolgreiche Berufung auf Treu und Glauben notwendigen Vertrauensgrundlage. Die Vorinstanz ist deshalb zu Recht auf die Beschwerde vom 8. Juni 2007 nicht eingetreten.</w:t>
      </w:r>
    </w:p>
    <w:p>
      <w:r>
        <w:rPr>
          <w:b/>
        </w:rPr>
        <w:t>E. 4</w:t>
      </w:r>
    </w:p>
    <w:p>
      <w:r>
        <w:t>Entsprechend ist die Beschwerde abzuweisen. Die Verfahrenskosten im Betrage von Fr. 1'000.-- sind der Beschwerdeführerin aufzuerlegen und mit dem von ihr geleisteten Kostenvorschuss in gleicher Höhe zu verrechnen (Art. 63 Abs. 1 VwVG). Eine Parteientschädigung an die Beschwerdeführerin ist nicht zuzusprechen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