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A-1241/2015 vom 18. September 2015</w:t>
      </w:r>
    </w:p>
    <w:p>
      <w:r>
        <w:t>Bundesverwaltungsgericht, 2015-09-18, FR</w:t>
      </w:r>
    </w:p>
    <w:p>
      <w:r>
        <w:rPr>
          <w:b/>
        </w:rPr>
        <w:t xml:space="preserve">Quelle: </w:t>
      </w:r>
      <w:r>
        <w:t>https://mcp.opencaselaw.ch/entscheid/bvger_A-1241_2015</w:t>
      </w:r>
    </w:p>
    <w:p>
      <w:r>
        <w:t>FR: TAF A-1241/2015 du 18 septembre 2015</w:t>
      </w:r>
    </w:p>
    <w:p>
      <w:r>
        <w:t>IT: TAF A-1241/2015 del 18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300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140 m2, jusqu'au 31 décembre 2014, puis elle a fait passer cette surface sans justification suffisante à 158.40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158.40 m2. Le grief y afférent du recourant sera rejeté.</w:t>
      </w:r>
    </w:p>
    <w:p>
      <w:r>
        <w:rPr>
          <w:b/>
        </w:rPr>
        <w:t>E. 7.1</w:t>
      </w:r>
    </w:p>
    <w:p>
      <w:r>
        <w:t>Le recourant affirme, encore, que les modalités fixées dans les directives du DFF pour estimer le dédommagement de son logement de service aboutissent à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du recourant a été établi selon un critère objectif, c'est-à-dire en fonction de sa surface (158.40 m2) et de son prix au mètre carré (110 fr./m2).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(110 fr./m2), elle tient compte de la répartition de toutes les communes sur le territoire suisse conformément aux données de l'OFS et de l'indice suisse des prix à la consommation (110.92 points [2012], précédemment 100 points [2000]). Ainsi, le montant du dédommagement fixé en l'occurrence par l'autorité inférieure (1'452 francs [110 fr./m2 x 158.40 m2 / 12], hors supplément/déduction), pour un sept pièces [5 et 2 pièces] reste dans la fourchette de 70 % du loyer d'objets comparables selon les usages locaux. En effet, le loyer moyen en 2012 de l'ensemble des logements de 6 pièces et plus, dans le canton de Vaud, est de 2'826 francs (cf. "Loyer moyen des logements occupés selon la taille, Vaud, 2001-2012" disponible sur le site Internet &lt;http://www.scris.vd.ch&gt; &gt; 0.9 Construction et logement &gt; Bâtiments et logements &gt; Tableaux &gt; Bâtiments et Logements, consulté le 15 septembre 2015). Le dédommagement fixé par l'autorité inférieure représente donc 51.4 %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la personne concernée,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Il n'y a dès lors pas lieu de procéder à des déductions supplémentaires pour ces motifs et le recourant n'a pas établi, malgré les occasions offertes, que son logement de service présenterait actuellement des inconvénients supplémentaires à ceux déjà retenus par l'autorité inférieure (10 % en raison d'un équipement non complet et 10 francs par mètre carré en raison de l'isolement de l'immeuble). A cet égard, il faut en outre souligner que le recourant a acquis, à ses frais, un lave-vaisselle (cf. bordereau, pièce F, p. 2), mais que, ce nonobstant, l'autorité inférieure a maintenu la déduction de 5 % (ou 66 fr./mois) y relative.</w:t>
      </w:r>
    </w:p>
    <w:p>
      <w:r>
        <w:rPr>
          <w:b/>
        </w:rPr>
        <w:t>E. 7.3.3</w:t>
      </w:r>
    </w:p>
    <w:p>
      <w:r>
        <w:t>L'autorité inférieure était dès lors en droit de fixer le dédommagement mensuel du logement n°(...) à 1'188 francs, charges non comprises, avec une première augmentation de 150 francs au 1er janvier 2015, puis de 150 francs au 1er janvier 2016.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