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A-1235/2015 vom 21. September 2015</w:t>
      </w:r>
    </w:p>
    <w:p>
      <w:r>
        <w:t>Bundesverwaltungsgericht, 2015-09-21, FR</w:t>
      </w:r>
    </w:p>
    <w:p>
      <w:r>
        <w:rPr>
          <w:b/>
        </w:rPr>
        <w:t xml:space="preserve">Quelle: </w:t>
      </w:r>
      <w:r>
        <w:t>https://mcp.opencaselaw.ch/entscheid/bvger_A-1235_2015</w:t>
      </w:r>
    </w:p>
    <w:p>
      <w:r>
        <w:t>FR: TAF A-1235/2015 du 21 septembre 2015</w:t>
      </w:r>
    </w:p>
    <w:p>
      <w:r>
        <w:t>IT: TAF A-1235/2015 del 21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272 francs, répartie sur deux ans, du dédommagement mensuel de son logement de service, la recourante est particulièrement atteinte et a un intérêt digne de protection à requérir son annulation ou sa modification (art. 48 al. 1 PA). Elle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à la recourante.</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à la recourante, afin qu'elle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de la recourante par voie décisionnelle. La recourante n'en disconvient pas.</w:t>
      </w:r>
    </w:p>
    <w:p>
      <w:r>
        <w:rPr>
          <w:b/>
        </w:rPr>
        <w:t>E. 4.1</w:t>
      </w:r>
    </w:p>
    <w:p>
      <w:r>
        <w:t>L'application du droit public à la relation nouée entre la recourante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La recourante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Elle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de la recourante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la recourante, mais des prescriptions déployant des effets externes et opposables aux sujets de droit qu'elles concernent. Il convient de rejeter en ce sens le grief de la recourante.</w:t>
      </w:r>
    </w:p>
    <w:p>
      <w:r>
        <w:rPr>
          <w:b/>
        </w:rPr>
        <w:t>E. 6.1</w:t>
      </w:r>
    </w:p>
    <w:p>
      <w:r>
        <w:t>La recourante reproche, ensuite, à l'autorité inférieure d'avoir constaté les faits de manière inexacte et en violation du principe de la bonne foi. Elle expose, à l'appui de son grief, que l'autorité inférieure a arrêté la surface de son logement à 55.20 m2, jusqu'au 31 décembre 2014, puis elle a fait passer cette surface sans justification suffisante à 62.20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La recourante ne fait en outre pas valoir qu'elle aurait été mise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de la recourante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La recourante ne fait enfin valoir aucune erreur concrète de l'architecte, qui a procédé aux mesures. Il s'ensuit que le Tribunal retient que le logement de service de la recourante occupe une surface habitable de 62.20 m2. Le grief y afférent de la recourante sera rejeté.</w:t>
      </w:r>
    </w:p>
    <w:p>
      <w:r>
        <w:rPr>
          <w:b/>
        </w:rPr>
        <w:t>E. 7.1</w:t>
      </w:r>
    </w:p>
    <w:p>
      <w:r>
        <w:t>La recourante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la recourante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7.3.1</w:t>
      </w:r>
    </w:p>
    <w:p>
      <w:r>
        <w:t>En l'espèce, le nouveau dédommagement du logement de service de la recourante a été établi selon un critère objectif, c'est-à-dire en fonction de sa surface (62.20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(777 fr. 50, hors supplément/déduction), pour un quatre pièces reste dans la fourchette de 70 % du loyer d'objets comparables selon les usages locaux. En effet, le loyer moyen de l'ensemble des logements de quatre pièces (cuisine comprise; cf. feuille de relève du 16 juin 2014 [mesures de l'architecte]), dans le canton de Genève, est de 1'446 francs (cf. Annuaire statistique du canton de Genève, 2013, T 05.15 p. 126). Le dédommagement fixé par l'autorité inférieure représente donc 53.8 %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de la recourante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la recourante n'a pas apporté le début d'une preuve, malgré les occasions offertes, que son logement de service présenterait actuellement des alentours défavorables. L'autorité inférieure n'a dès lors pas outrepassé son pouvoir d'appréciation en accordant une unique déduction de 5 % (équipement non complet). Les différents griefs de la recourante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la recourante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