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A-1225/2020 vom 24. Juni 2020</w:t>
      </w:r>
    </w:p>
    <w:p>
      <w:r>
        <w:t>Bundesverwaltungsgericht, 2020-06-24, DE</w:t>
      </w:r>
    </w:p>
    <w:p>
      <w:r>
        <w:rPr>
          <w:b/>
        </w:rPr>
        <w:t xml:space="preserve">Quelle: </w:t>
      </w:r>
      <w:r>
        <w:t>https://mcp.opencaselaw.ch/entscheid/bvger_A-1225_2020</w:t>
      </w:r>
    </w:p>
    <w:p>
      <w:r>
        <w:t>FR: TAF A-1225/2020 du 24 juin 2020</w:t>
      </w:r>
    </w:p>
    <w:p>
      <w:r>
        <w:t>IT: TAF A-1225/2020 del 24 giugno 2020</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Entscheide der EICom sind beim Bundesverwaltungsgericht anfechtbar (Art. 23 des Stromversorgungsgesetzes vom 23. März 2007 [StromVG, SR 734. 7] und Art. 33 Bst. f VGG). Eine Ausnahme, was das Sachgebiet angeht, ist nicht gegeben (vgl. Art. 32 VGG). Demnach ist das Bundesverwaltungsgericht zur Beurteilung der vorliegenden Beschwerde zuständig. Das Verfahren richtet sich nach dem VwVG, soweit das VGG nichts anderes bestimmt (Art. 37 VGG).</w:t>
      </w:r>
    </w:p>
    <w:p>
      <w:r>
        <w:rPr>
          <w:b/>
        </w:rPr>
        <w:t>E. 1.2</w:t>
      </w:r>
    </w:p>
    <w:p>
      <w:r>
        <w:t>Der Beschwerdeführer hat sich am vorinstanzlichen Verfahren beteiligt und ist als Adressat der vorinstanzlichen Verfügung sowohl formell als auch materiell beschwert, weshalb er zur Beschwerde legitimiert ist (Art. 48 Abs. 1 VwVG).</w:t>
      </w:r>
    </w:p>
    <w:p>
      <w:r>
        <w:rPr>
          <w:b/>
        </w:rPr>
        <w:t>E. 1.3</w:t>
      </w:r>
    </w:p>
    <w:p>
      <w:r>
        <w:t>Der Streitgegenstand umfasst das durch die Verfügung geregelte Rechtsverhältnis, soweit dieses angefochten wird. Gegenstand des Beschwerdeverfahrens kann grundsätzlich nur sein, was Gegenstand des erstinstanzlichen Verfahrens war oder nach richtiger Gesetzesauslegung hätte sein sollen (Kölz/Häner, Verwaltungsverfahren und Verwaltungsrechtspflege des Bundes, 2. Aufl. 1998, Rz. 403 f.). Mit einer Beschwerde gegen einen Nichteintretensentscheid kann nur geltend gemacht werden, die Vorinstanz habe zu Unrecht das Bestehen der Eintrittsvoraussetzungen verneint (vgl. statt vieler das Urteil des BVGer A-4790/2018 vom 19. Dezember 2018 E. 1.2; BGE 132 V 74 E. 1.1; BVGE 2011/30 E. 3). Gegenstand des vorliegenden Verfahrens ist daher einzig die Frage, ob die Vorinstanz auf das Gesuch des Beschwerdeführers zu Recht nicht eingetreten ist. Auf dessen Ausführungen zur materiellen Rechtslage betreffend die Hauptsache ist daher nicht einzugehen. Zudem kann aus demselben Grund auf den Eventualantrag nicht eingetreten werden. Im Übrigen ist auf die frist- und formgerecht eingereichte Beschwerde (Art. 50 und Art. 52 VwVG) einzutreten.</w:t>
      </w:r>
    </w:p>
    <w:p>
      <w:r>
        <w:rPr>
          <w:b/>
        </w:rPr>
        <w:t>E. 2</w:t>
      </w:r>
    </w:p>
    <w:p>
      <w:r>
        <w:t>Das Bundesverwaltungsgericht überprüft die angefochtene Verfügung - im Umfang des Streitgegenstands -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Traditionell war die Elektrizitätsversorgung in der Schweiz weitgehend Sache der Gemeinden und Kantone. Diese Rechtslage hat sich mit dem Inkrafttreten des Stromversorgungsgesetzes per 15. Juli 2007 geändert (Urteil des BGer 2C_518/2012 vom 23. November 2012 E. 2.1, nicht publiziert in BGE 138 I 468). Das Stromversorgungsgesetz bezweckt als Spezialregelung zur wettbewerbsrechtlichen Lage und in Anlehnung an die Strommarktliberalisierung in der EU, die Voraussetzungen für eine sichere Elektrizitätsversorgung sowie für einen wettbewerbsorientierten Elektrizitätsmarkt zu schaffen (Art. 1 Abs. 1 StromVG). Es will nicht die gesamte Stromversorgung abschliessend regeln, sondern dafür einen regulatorischen Rahmen schaffen, der wie zuvor auf dem Grundsatz der Subsidiarität und Kooperation aufbaut und primär diejenigen Aufgaben hoheitlich regelt, welche durch die Energiewirtschaft nicht selber im Gesamtinteresse wahrgenommen werden, unter Berücksichtigung bestehender Vereinbarungen und in Zusammenarbeit mit betroffenen Organisationen (BBl 2005 1611, 1615, 1617; vgl. auch Art. 3 StromVG). Bundesrechtlich sind durch das Stromversorgungsgesetz nur einzelne Aspekte, wie zum Beispiel mit bestimmten Ausnahmen die Tarifaufsicht und das Netznutzungsentgelt, abschliessend festgelegt. Im Übrigen wird aber die Elektrizitätsversorgung in dem durch das Bundesrecht gezogenen Rahmen nach wie vor in bedeutendem Umfang durch kantonales Recht, Reglemente lokaler oder regionaler Elektrizitätswerke sowie privat- oder öffentlichrechtliche Verträge geregelt (BVGE 2015/38 E. 5.4 m.w.H.).</w:t>
      </w:r>
    </w:p>
    <w:p>
      <w:r>
        <w:rPr>
          <w:b/>
        </w:rPr>
        <w:t>E. 4.1</w:t>
      </w:r>
    </w:p>
    <w:p>
      <w:r>
        <w:t>Die Vorinstanz begründet den Nichteintretensentscheid mit ihrer fehlenden sachlichen Zuständigkeit. Gemäss Art. 22 Abs. 1 StromVG überwache sie die Einhaltung des Gesetzes. Im Übrigen entscheide sie gemäss Art. 62 Abs. 3 EnG vorbehältlich von Abs. 4 (Zuständigkeit der Zivilgerichte) bei Streitigkeiten aufgrund der Art. 15, 16-18 und 73 Abs. 4 und 5 EnG (Stromabnahme- und Vergütungspflicht der Netzbetreiber; Eigenverbrauch der Anlagebetreiber; Zusammenschluss von Grundeigentümern zum Eigengebrauch und deren Verhältnis zum Netzbetreiber; Übergangsbestimmungen für bestehende Verträge zwischen Netzbetreibern und Stromproduzenten). Die Begehren des Beschwerdeführers beträfen in erster Linie die Mehrwertsteuerpflicht. Weder richte sich die Beantwortung der aufgeworfenen Frage nach dem Stromversorgungsgesetz und dessen Ausführungserlassen noch bestehe eine entsprechende Zuständigkeit der Vorinstanz im Bereich des Energiegesetzes. Soweit ersichtlich sei die Angelegenheit vielmehr nach dem Mehrwertsteuergesetz vom 12. Juni 2009 (MWSTG, SR 641.20) zu beurteilen, wofür die ESTV zuständig sei (Art. 1 Abs. 2, Art. 65 Abs. 1 und 2 MWSTG). Im Übrigen beanstande der Beschwerdeführer die Überwälzung des Netzzuschlags auf die Endverbraucher gemäss Art. 35 Abs. 1 EnG. Die Beurteilung von Streitigkeiten im Zusammenhang mit Art. 35 Abs. 1 EnG falle nach Art. 62 Abs. 3 EnG ebenfalls nicht in den Zuständigkeitsbereich der Vorinstanz. Gemäss Art. 62 Abs. 1 EnG treffe das Bundesamt für Energie (BFE) die Massnahmen und Verfügungen nach dem Energiegesetz, soweit der Bund zuständig sei und das Gesetz die Zuständigkeit keiner anderen Behörde zuweise. Betreffend das Begehren 4 des Beschwerdeführers (Anweisung an die EKZ betr. den buchhalterischen Umgang mit dem Netzzuschlag) ergebe sich schliesslich nach Art. 22 StromVG keine Handlungspflicht der Vorinstanz; diesbezüglich sei ausserdem kein schützenswertes Interesse des Beschwerdeführers ersichtlich.</w:t>
      </w:r>
    </w:p>
    <w:p>
      <w:r>
        <w:rPr>
          <w:b/>
        </w:rPr>
        <w:t>E. 4.2</w:t>
      </w:r>
    </w:p>
    <w:p>
      <w:r>
        <w:t>Der Beschwerdeführer wendet ein, er habe sich im Rahmen seines Streits mit der EKZ an die Vorinstanz als unabhängige staatliche Regulierungsbehörde im Elektrizitätsbereich gewandt. Diese habe gestützt auf Art. 22 Abs. 1 StromVG sicherzustellen, dass alle - inkl. ESTV und Netzbetreiber - die Stromversorgungsgesetzgebung einhalten. Vorliegend gehe es um die Beantwortung der Frage, ob es sich beim Netzzuschlag überhaupt um eine Leistung im mehrwertsteuerrechtlichen Sinne handle und um die gesetzeskonforme Überwälzung auf die Endverbraucher. Wo keine Mehrwertsteuerpflicht bestehe, könne die ESTV auch nicht zuständig sein. Selbst wenn der Netzzuschlag mehrwertsteuerpflichtig wäre, wäre die Vorinstanz verpflichtet, die StromVG-konforme Überwälzung zu überwachen und gegebenenfalls die notwendigen Verfügungen zu erlassen. Die in die Zuständigkeit der ESTV fallende Frage der Bemessung der Mehrwertsteuer könne sich überhaupt nur dann stellen, wenn die StromVG-konforme Überwälzung des Netzzuschlags dazu führe, dass dieser Teil der eigenen Leistung der Netzbetreiber werde und dadurch zu einem verbrauchsfähigen wirtschaftlichen Wert mutiere, was bestritten werde. Selbst wenn das BFE gemäss Art. 62 Abs. 3 EnG für den Vollzug von Art. 35 Abs. 1 EnG zuständig sei, entbinde dies die Vorinstanz nicht von ihrer Pflicht, die Einhaltung des Stromversorgungsgesetzes sicherzustellen, denn den Netzbetreibern seien in Bezug auf Information und Rechnungsteilung (Art. 12 StromVG), Netznutzungsentgelt (Art. 14 StromVG), anrechenbare Netzkosten (Art. 15 StromVG) sowie Elektrizitätstarife und Kostenträgerrechnung für Energielieferung (Art. 4 Stromversorgungsverordnung vom 14. März 2008 [StromVV, SR 734.71]) enge Grenzen gesetzt. Die Vorinstanz sei überdies befugt, minimale Anforderungen an die Rechnungsstellung der Netzbetreiber zu erlassen (Art. 6 Abs. 3, Art. 12 Abs. 2 StromVG; Art. 8 Abs. 3 StromVV) und sie habe dies in früheren Jahren auch bereits getan (vgl. EICom Weisung 1/2014 vom 11. März 2014, abrufbar unter &lt;https://www.elcom.admin.ch/elcom&gt; &gt; Dokumentation &gt; Weisungen, besucht am 18. Juni 2020). Sodann habe sie in einer Zwischenverfügung vom 11. April 2017 bereits ihre umfassende Kompetenz im Rahmen ihrer Zuständigkeit nach dem StromVG festgestellt (vgl. Urteil des BVGer A-3343/2013 vom 10. Dezember 2013 E. 1.1.2.2). Sie sei grundsätzlich überall dort zuständig, wo die Entscheid- und Verfügungskompetenz nicht ausdrücklich einer anderen Behörde vorbehalten sei (vgl. Urteil des BVGer A-2850/2014 vom 28. Mai 2015 E. 5.3). Sei dabei eine fremdrechtliche Frage zu beurteilen, die Auswirkungen auf den nach StromVG zu beurteilenden Sachverhalt habe, so dürfe die EICom vorfrageweise darüber befinden (Urteil des BVGer A-6689/2012 vom 18. Februar 2014 E.1.1.2 und 8.5).</w:t>
      </w:r>
    </w:p>
    <w:p>
      <w:r>
        <w:rPr>
          <w:b/>
        </w:rPr>
        <w:t>E. 4.3</w:t>
      </w:r>
    </w:p>
    <w:p>
      <w:r>
        <w:t>Die ElCom überwacht nach Art. 22 Abs. 1 StromVG die Einhaltung des Stromversorgungsgesetzes, trifft die Entscheide und erlässt die Verfügungen, die für den Vollzug des Gesetzes und der Ausführungsbestimmungen notwendig sind. Nach Art. 22 Abs. 2 Bst. a und b StromVG ist sie insbesondere zuständig für den Entscheid im Streitfall über die Netznutzungstarife und -entgelte sowie die Elektrizitätstarife resp. die Überprüfung der Netznutzungstarife und -entgelte sowie der Elektrizitätstarife von Amtes wegen. Gemäss Botschaft zum StromVG enthält diese Bestimmung die umfassende Kompetenz der Vorinstanz, die Einhaltung der Bestimmungen des StromVG zu überwachen und die für dessen Vollzug notwendigen Entscheide zu treffen beziehungsweise Verfügungen zu erlassen (BBl 2005 1611, 1661, 1698; vgl. BVGE 2015/38 E. 5.3).</w:t>
      </w:r>
    </w:p>
    <w:p>
      <w:r>
        <w:rPr>
          <w:b/>
        </w:rPr>
        <w:t>E. 4.3.1</w:t>
      </w:r>
    </w:p>
    <w:p>
      <w:r>
        <w:t>Die Kompetenz der Vorinstanz betreffend die Einhaltung des Stromversorgungsgesetzes umfasst hingegen nicht die Frage der Mehrwertsteuerpflicht auf dem Netzzuschlag. Alleine der Umstand, dass ein Sachzusammenhang zwischen dem Netzzuschlag und der darauf geschuldeten Mehrwertsteuer besteht, begründet nicht die Zuständigkeit der Vorinstanz (vgl. analog BVGE 2015/38 E. 4.5.2). Sobald sich die Frage stellt, ob auf einer Leistung die Mehrwertsteuer geschuldet ist, fällt die Sache vielmehr in den Zuständigkeitsbereich der ESTV (vgl. Art. 65 Abs. 1 und 2, Art. 82 MWSTG; vgl. betreffend die Zuständigkeit der ESTV hinsichtlich der MWST auf dem Elektrizitätstarif das Urteil des BVGer A-3797/2019 vom 15. April 2020). Die ESTV selbst hat mit Schreiben vom 23. April 2019 gegenüber dem Beschwerdeführer festgehalten, dass sie zur Beantwortung von Fragen zur Mehrwertsteuer zuständig sei. Das durch die Vorinstanz an sie weitergeleitete Gesuch des Beschwerdeführers vom 22. März 2019 nahm sie indes nicht zum Anlass, ein förmliches Verfahren zu eröffnen, sondern beschränkte sich auf die schriftliche Erteilung von Auskünften zur Natur des Netzzuschlags und der daraus resultierenden Folgen betreffend die Mehrwertsteuerpflicht. Es wäre am Beschwerdeführer gewesen, diesbezüglich von der ESTV eine anfechtbare Verfügung gemäss Art. 82 MWSTG zu verlangen, um die Frage der Mehrwertsteuerpflicht auf dem Netzzuschlag verbindlich klären zu lassen.</w:t>
      </w:r>
    </w:p>
    <w:p>
      <w:r>
        <w:rPr>
          <w:b/>
        </w:rPr>
        <w:t>E. 4.3.2</w:t>
      </w:r>
    </w:p>
    <w:p>
      <w:r>
        <w:t>Hinsichtlich der weiteren Begehren des Beschwerdeführers ist ebenfalls keine unmittelbare Zuständigkeit resp. Handlungspflicht der ElCom auszumachen, da zur Beurteilung sämtlicher Anträge zunächst die Frage der Mehrwertsteuerpflicht auf dem Netzzuschlag zu klären ist. Was die Rechtmässigkeit der Überwälzung des Netzzuschlags auf die Endverbraucher betrifft, ist diese in Art. 35 Abs. 1 EnG gesetzlich verankert. Wie die Vorinstanz zutreffend festhält, fällt die Beurteilung von Streitigkeiten im Zusammenhang mit dieser Bestimmung jedoch nicht in ihren, sondern nach Art. 62 Abs. 1 EnG in den Zuständigkeitsbereich des BFE.</w:t>
      </w:r>
    </w:p>
    <w:p>
      <w:r>
        <w:rPr>
          <w:b/>
        </w:rPr>
        <w:t>E. 4.4</w:t>
      </w:r>
    </w:p>
    <w:p>
      <w:r>
        <w:t>Zusammenfassend erklärte sich die Vorinstanz zu Recht für das Gesuch des Beschwerdeführers als nicht zuständig. Bei diesem Ergebnis muss die von ihr offen gelassene Frage, ob der Beschwerdeführer die Rechnung der EKZ vom 25. Januar 2019 überhaupt rechtsgültig angefochten hat und zur Einreichung der Gesuche vom 22. März resp. 15. Juli 2019 an die ElCom legitimiert war, nicht beurteilt werden.</w:t>
      </w:r>
    </w:p>
    <w:p>
      <w:r>
        <w:rPr>
          <w:b/>
        </w:rPr>
        <w:t>E. 5</w:t>
      </w:r>
    </w:p>
    <w:p>
      <w:r>
        <w:t>Nach dem Gesagten ist die Beschwerde abzuweisen.</w:t>
      </w:r>
    </w:p>
    <w:p>
      <w:r>
        <w:rPr>
          <w:b/>
        </w:rPr>
        <w:t>E. 6</w:t>
      </w:r>
    </w:p>
    <w:p>
      <w:r>
        <w:t>Die Kosten des vorliegenden Verfahrens werden in Anwendung von Art. 1 ff. des Reglements vom 21. Februar 2008 über die Kosten und Entschädigungen vor dem Bundesverwaltungsgericht (VGKE; SR 173.320.2) auf Fr. 1'500.- festgesetzt. Sie sind dem Beschwerdeführer als unterliegender Partei aufzuerlegen (Art. 63 Abs. 1 VwVG). Dieser Betrag wird dem in gleicher Höhe geleisteten Kostenvorschuss entnommen. Bei diesem Ausgang des Verfahrens ist dem Beschwerdeführer keine Parteientschädigung zuzusprechen (vgl. Art. 64 Abs. 1 e contrario VwVG, Art. 7 Abs. 1 e contrario VGKE). Auch der obsiegenden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