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A-1222/2015 vom 28. September 2015</w:t>
      </w:r>
    </w:p>
    <w:p>
      <w:r>
        <w:t>Bundesverwaltungsgericht, 2015-09-28, FR</w:t>
      </w:r>
    </w:p>
    <w:p>
      <w:r>
        <w:rPr>
          <w:b/>
        </w:rPr>
        <w:t xml:space="preserve">Quelle: </w:t>
      </w:r>
      <w:r>
        <w:t>https://mcp.opencaselaw.ch/entscheid/bvger_A-1222_2015</w:t>
      </w:r>
    </w:p>
    <w:p>
      <w:r>
        <w:t>FR: TAF A-1222/2015 du 28 septembre 2015</w:t>
      </w:r>
    </w:p>
    <w:p>
      <w:r>
        <w:t>IT: TAF A-1222/2015 del 28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En l'espèce, le recourant s'est vu signifier une augmentation de 133 francs du dédommagement mensuel (forfaitaire) du logement de service qu'il occupe. La question se pose de savoir si, dans le cas particulier et en l'absence du prononcé d'une décision, le recours n'est pas prématuré et si le recourant a la qualité pour recourir. Cela étant, au vu de l'argumentation soutenue par l'autorité inférieure et de l'issue de la cause, ces deux points peuvent exceptionnellement rester ouverts.</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recourant a librement choisi de se domicilier à (...), dans le canton (...), et il ne fait l'objet d'aucune restriction à cet égard. En raison de l'éloignement géographique entre son domicile et le poste de douane auquel il est affecté, le Commandement des gardes-frontière lui a attribué, vraisemblablement à sa demande, un logement de service, afin qu'il puisse remplir au mieux ses obligations professionnelles, vu des contraintes liées à sa fonction (services de piquet, tâches de surveillance, etc. ; voir ég. Feuille fédérale [FF] 1999 I 1443). L'utilisation du logement de service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la Direction générale des douanes a édicté des instructions, le 1er septembre 2014, sur les logements de service et logements locatifs. Celles-ci prévoient que, en cas d'assignation dans un appartement communautaire, l'indemnité est fixée à 250 francs par chambre (pour les zones 1 à 7, définies à l'art. 11 al. 2 O OPers ; cf. ch. 3.4 des instructions du 1er septembre 2014 précitées) ou à 330 francs par chambre (pour les zones 8 à 13).</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par le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6.3.1</w:t>
      </w:r>
    </w:p>
    <w:p>
      <w:r>
        <w:t>La nouvelle estimation du logement de service du recourant repose principalement sur les instructions précitées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le recourant s'est vu attribuer une chambre dans un appartement communautaire, à (...) (soit en zone 13, selon l'art. 11 al. 2 O OPers). Selon les instructions du 1er septembre 2014, il doit s'acquitter d'une indemnité forfaitaire de 330 francs, charges comprises (cf. ch. 3.4). A cet égard et quoi qu'en dise le recourant en référence aux directives du DFF de 2013,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Enfin, et de manière plus générale, l'Etat pouvait prévoir un mode de calcul différent pour les logements de service destinés à être attribués aux agents célibataires,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canton de Vaud, en 2012, on s'aperçoit d'ailleurs d'emblée qu'il est plus de deux fois supérieur à celui fixé par l'autorité inférieure (700 francs pour une pièce, sans les charges ; cf. Statistique Vaud, Loyer moyen des logements occupés selon la taille, 2012). Le recourant ne fait par surabondance valoir aucun élément particulier se rapportant à la situation propre de son logement de service. Les différents griefs du recourant seront par conséquent rejetés.</w:t>
      </w:r>
    </w:p>
    <w:p>
      <w:r>
        <w:rPr>
          <w:b/>
        </w:rPr>
        <w:t>E. 6.4</w:t>
      </w:r>
    </w:p>
    <w:p>
      <w:r>
        <w:t>Au vu des considérants qui précèdent, la décision attaquée est conforme au droit et le recours s'avère mal fondé, ce qui conduit à son rejet (ATF 137 II 313 consid. 3.3.3).</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