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A-1220/2015 vom 23. September 2015</w:t>
      </w:r>
    </w:p>
    <w:p>
      <w:r>
        <w:t>Bundesverwaltungsgericht, 2015-09-23, FR</w:t>
      </w:r>
    </w:p>
    <w:p>
      <w:r>
        <w:rPr>
          <w:b/>
        </w:rPr>
        <w:t xml:space="preserve">Quelle: </w:t>
      </w:r>
      <w:r>
        <w:t>https://mcp.opencaselaw.ch/entscheid/bvger_A-1220_2015</w:t>
      </w:r>
    </w:p>
    <w:p>
      <w:r>
        <w:t>FR: TAF A-1220/2015 du 23 septembre 2015</w:t>
      </w:r>
    </w:p>
    <w:p>
      <w:r>
        <w:t>IT: TAF A-1220/2015 del 23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155 francs du dédommagement mensuel de son logement de service, la recourante est particulièrement atteinte et a un intérêt digne de protection à requérir son annulation ou sa modification (art. 48 al. 1 PA). Elle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à la recourante.</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à la recourante, qui est domiciliée dans le canton (...), afin qu'elle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de la recourante par voie décisionnelle. Elle n'en disconvient pas.</w:t>
      </w:r>
    </w:p>
    <w:p>
      <w:r>
        <w:rPr>
          <w:b/>
        </w:rPr>
        <w:t>E. 4.1</w:t>
      </w:r>
    </w:p>
    <w:p>
      <w:r>
        <w:t>L'application du droit public à la relation nouée entre la recourante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la Direction générale des douanes a édicté des instructions, le 1er septembre 2014, sur les logements de service et logements locatifs. Celles-ci prévoient que, en cas d'assignation dans un appartement communautaire, l'indemnité est fixée à 250 francs par chambre (pour les zones 1 à 7, définies à l'art. 11 al. 2 O OPers ; cf. ch. 3.4 des instructions du 1er septembre 2014 précitées) ou à 330 francs par chambre (pour les zones 8 à 13).</w:t>
      </w:r>
    </w:p>
    <w:p>
      <w:r>
        <w:rPr>
          <w:b/>
        </w:rPr>
        <w:t>E. 5.1</w:t>
      </w:r>
    </w:p>
    <w:p>
      <w:r>
        <w:t>La recourante estime, tout d'abord, que les directives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Elle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de la recourante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la recourante, mais des prescriptions déployant des effets externes et opposables aux sujets de droit qu'elles concernent. Il convient de rejeter en ce sens le grief de la recourante.</w:t>
      </w:r>
    </w:p>
    <w:p>
      <w:r>
        <w:rPr>
          <w:b/>
        </w:rPr>
        <w:t>E. 6.1</w:t>
      </w:r>
    </w:p>
    <w:p>
      <w:r>
        <w:t>La recourante affirme, ensuite, que les modalités fixées par le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directives et instructions pertinentes.</w:t>
      </w:r>
    </w:p>
    <w:p>
      <w:r>
        <w:rPr>
          <w:b/>
        </w:rPr>
        <w:t>E. 6.2</w:t>
      </w:r>
    </w:p>
    <w:p>
      <w:r>
        <w:t>L'occupation d'un logement de service excède l'usage commun et peut de ce fait donner lieu à la perception d'un dédommagement. Les dédommagements perçus pour l'usage particulier d'un bien appartenant à l'Etat sont soumis - comme le rappelle la recourante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6.3.1</w:t>
      </w:r>
    </w:p>
    <w:p>
      <w:r>
        <w:t>La nouvelle estimation du logement de service de la recourante repose principalement sur les instructions précitées du 1er septembre 2014. Celles-ci prévoient, en leur ch. 3.4, un dédommagement forfaitaire de 250 à 330 francs (appartement communautaire) et de 330 à 440 francs (centre communautaire). Ces logements sont par ailleurs meublés, équipés et disposent, généralement dans une pièce commune, d'un appareil radio/TV. Les coûts de chauffage et les charges, la production d'eau chaude, la consommation normale d'électricité et de gaz, les taxes de raccordement et d'abonnement (concessions comprises) pour un appareil radio/TV et le réseau WIFI sont inclus dans ce dédommagement (cf. ch. 3.5 ss).</w:t>
      </w:r>
    </w:p>
    <w:p>
      <w:r>
        <w:rPr>
          <w:b/>
        </w:rPr>
        <w:t>E. 6.3.2</w:t>
      </w:r>
    </w:p>
    <w:p>
      <w:r>
        <w:t>Au cas d'espèce, la recourante s'est vu attribuer une chambre meublée dans un appartement communautaire, à (...) (soit en zone 13, selon l'art. 11 al. 2 O OPers). Selon les instructions du 1er septembre 2014, elle doit s'acquitter d'une indemnité forfaitaire de 330 francs, charges comprises (cf. ch. 3.4). A cet égard et quoi qu'en dise la recourante en référence aux directives du DFF du 1er août 2013, le Tribunal ne perçoit aucun élément susceptible de remettre en cause ce montant. L'indemnité forfaitaire liée à l'occupation d'un logement de fonction n'a en particulier pas le caractère d'un droit acquis, sauf engagement individuel en ce sens, et sa fixation est régie par la législation en vigueur au moment considéré (cf. p. ex. arrêt du Tribunal administratif fédéral A-202/2015 du 23 septembre 2015 consid. 6.2). L'Etat est ainsi libre de revoir en tout temps sa politique en matière de logement de service et les personnes qui en bénéficient doivent compter avec le fait que les dispositions en cause puissent faire l'objet ultérieurement de modifications. Enfin, et de manière plus générale, l'Etat pouvait prévoir un mode de calcul différent pour les logements de service destinés à être attribués aux agents célibataires (soit un système forfaitaire), dans la mesure où son intention a été de les favoriser au vu de leur situation particulière. A savoir, comme l'expose l'autorité inférieure, faire en sorte de maintenir les logements pour célibataires nettement en dessous de leur valeur afin que les loyers augmentent moins en faveur des jeunes collaborateurs percevant des salaires plus bas et afin de garantir la flexibilité nécessaire aux agents concernés (cf. Bulletin d'information du Chef du Corps des gardes-frontière sur les nouvelles instructions de l'AFD concernant les logements de service du 1er septembre 2014). Si l'on se réfère au loyer moyen dans canton de Genève, en 2012, on s'aperçoit d'ailleurs d'emblée qu'il est plus de deux fois supérieur à celui fixé par l'autorité inférieure (765 francs pour une pièce, sans les charges ; cf. Annuaire statistique du canton de Genève, 2013, T 05.15 p. 126). La recourante ne fait enfin valoir aucun élément particulier se rapportant à la situation propre de son logement de service. Les différents griefs de la recourante seront par conséquent rejetés.</w:t>
      </w:r>
    </w:p>
    <w:p>
      <w:r>
        <w:rPr>
          <w:b/>
        </w:rPr>
        <w:t>E. 6.4</w:t>
      </w:r>
    </w:p>
    <w:p>
      <w:r>
        <w:t>Au vu des considérants qui précèdent, la décision attaquée est conforme au droit et le recours s'avère mal fondé, ce qui conduit à son rejet.</w:t>
      </w:r>
    </w:p>
    <w:p>
      <w:r>
        <w:rPr>
          <w:b/>
        </w:rPr>
        <w:t>E. 7.1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7.2</w:t>
      </w:r>
    </w:p>
    <w:p>
      <w:r>
        <w:t>Succombant, la recourante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