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A-1217/2015 vom 25. September 2015</w:t>
      </w:r>
    </w:p>
    <w:p>
      <w:r>
        <w:t>Bundesverwaltungsgericht, 2015-09-25, FR</w:t>
      </w:r>
    </w:p>
    <w:p>
      <w:r>
        <w:rPr>
          <w:b/>
        </w:rPr>
        <w:t xml:space="preserve">Quelle: </w:t>
      </w:r>
      <w:r>
        <w:t>https://mcp.opencaselaw.ch/entscheid/bvger_A-1217_2015</w:t>
      </w:r>
    </w:p>
    <w:p>
      <w:r>
        <w:t>FR: TAF A-1217/2015 du 25 septembre 2015</w:t>
      </w:r>
    </w:p>
    <w:p>
      <w:r>
        <w:t>IT: TAF A-1217/2015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765 francs (dont 165 francs est mis en réserve), répartie sur quatre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 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 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105 m2, jusqu'au 31 décembre 2014, puis elle a fait passer cette surface sans justification suffisante à 154.40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154.40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(154.40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l'Office fédéral de la statistique 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w:t>
      </w:r>
    </w:p>
    <w:p>
      <w:r>
        <w:rPr>
          <w:b/>
        </w:rPr>
        <w:t>E. 7.3.3</w:t>
      </w:r>
    </w:p>
    <w:p>
      <w:r>
        <w:t>Ainsi, le montant du dédommagement fixé en l'occurrence par l'autorité inférieure (1'930 francs [154.40 m2 x 150 fr./m2 / 12], hors supplément/déduction), pour un 4,5 pièces dépasse la fourchette de 70 % du loyer d'objets comparables selon les usages locaux. En effet, le loyer moyen de l'ensemble des logements de 5 pièces (cuisine comprise ; cf. feuille de relève du 5 juin 2014), dans le canton de Genève, est de 1'789 francs (cf. Annuaire statistique du canton de Genève, 2013, T 05.15, p. 126). Le dédommagement fixé par l'autorité inférieure représente donc 108 % de ce montant. Ce dépassement s'explique néanmoins par la surface habitable de 154.40 m2 et la situation du logement de fonction (un duplex avec étage mansardé). Dans le canton de Genève, un cinq pièces (cuisine comprise) présente en effet une surface comprise entre 90 m2 et 108 m2 et une surface moyenne de 97 m2 (cf. Office cantonal genevois de la statistique, Communications statistiques, Surfaces et loyers des logements dans le canton de Genève, Statistique cantonale des loyers de mai 2005, p. 8, T - 01 Surface moyenne des logements en 2005). La surface du logement de service attribué au recourant dépasse ainsi ses besoins et peut être qualifiée de généreuse. Si l'on se réfère aux normes de construction récentes, l'on peut également signaler que, s'agissant des logements de service, l'Office fédéral des constructions et de la logistique OFCL recommande une surface de plancher nette de 100-120 m2 pour un quatre pièces et demi (cf. Directives de l'OFCL pour l'aménagement des logements de service lors de nouvelles construction, annexées aux Directives du DFF de 2013). Ainsi, même si le système adopté à l'art. 59 al. 1 O-OPers ne permet pas d'éviter un dépassement de la fourchette de 70 % du loyer d'objets comparables selon les usages locaux pour des cas exceptionnels, tel celui du recourant, il convient de relever que le montant mensuel de 1'930 francs, pour un 4,5 pièces de 154.40 m2, dans l'agglomération de Genève, reste relativement faible au regard de la prestation fournie. Dans ces circonstances, le dédommagement fixé par l'autorité inférieure n'apparaît pas hors de proportion avec la prestation octroyée. Il faut également relever que, par le choix d'une augmentation échelonnée en quatre tranches et la mise en réserve du solde de 165 francs, l'autorité inférieure est parvenue à limiter raisonnablement les inévitables désagréments pour le recourant,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