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A-1212/2015 vom 25. September 2015</w:t>
      </w:r>
    </w:p>
    <w:p>
      <w:r>
        <w:t>Bundesverwaltungsgericht, 2015-09-25, FR</w:t>
      </w:r>
    </w:p>
    <w:p>
      <w:r>
        <w:rPr>
          <w:b/>
        </w:rPr>
        <w:t xml:space="preserve">Quelle: </w:t>
      </w:r>
      <w:r>
        <w:t>https://mcp.opencaselaw.ch/entscheid/bvger_A-1212_2015</w:t>
      </w:r>
    </w:p>
    <w:p>
      <w:r>
        <w:t>FR: TAF A-1212/2015 du 25 septembre 2015</w:t>
      </w:r>
    </w:p>
    <w:p>
      <w:r>
        <w:t>IT: TAF A-1212/2015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202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68.80 m2, jusqu'au 31 décembre 2014, puis elle a fait passer cette surface sans justification suffisante à 86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La principale différence tient d'ailleurs à la prise en compte d'une pièce supplémentaire, soit une chambre indépendante aux combles (6.71 m2).</w:t>
      </w:r>
    </w:p>
    <w:p>
      <w:r>
        <w:rPr>
          <w:b/>
        </w:rPr>
        <w:t>E. 6.3</w:t>
      </w:r>
    </w:p>
    <w:p>
      <w:r>
        <w:t>Il s'ensuit que le Tribunal retient que le logement de service du recourant occupe une surface habitable de 86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(86 m2) et de son prix au mètre carré (120 fr./m2; commune de moins de 20'000 habitants).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(120 fr./m2), elle tient compte de la répartition de toutes les communes sur le territoire suisse conformément aux données de l'OFS et de l'indice suisse des prix à la consommation (110.92 points [2012], précédemment 100 points [2000]). Cette méthode de calcul repose donc sur l'art. 59 al. 1 O-OPers et la jurisprudence (cf. JAAC 65.81 consid. 5b). Il n'y a pas lieu d'y revenir. Ainsi, le montant du dédommagement fixé en l'occurrence par l'autorité inférieure (860 francs, hors supplément/déduction), pour un quatre pièces reste dans la fourchette de 70 % du loyer d'objets comparables selon les usages locaux. En effet, le loyer moyen de l'ensemble des logements de 4 pièces, dans le canton de Vaud, est de 1'607 francs (cf. "Loyer moyen des logements occupés selon la taille, Vaud, 2001-2012" disponible sur le site Internet &lt;http://www.scris.vd.ch&gt; &gt; 0.9 Construction et logement &gt; Bâtiments et logements &gt; Tableaux &gt; Bâtiments et Logements, consulté le 18 septembre 2015). Le dédommagement fixé par l'autorité inférieure représente donc 53.5 %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une situation particulièrement isolée ou un environnement défavorable. L'autorité inférieure n'a dès lors pas outrepassé son pouvoir d'appréciation en accordant une déduction totale de 20 % (10 % pour la disposition inadéquate du logement de fonction et 10 % pour l'équipement non complet). Enfin, la présente procédure ne porte pas sur les travaux d'entretien ou les menus travaux de nettoyage ou de réparation du logement de service (cf. supra, consid. 2.2).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