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A-1210/2015 vom 25. September 2015</w:t>
      </w:r>
    </w:p>
    <w:p>
      <w:r>
        <w:t>Bundesverwaltungsgericht, 2015-09-25, FR</w:t>
      </w:r>
    </w:p>
    <w:p>
      <w:r>
        <w:rPr>
          <w:b/>
        </w:rPr>
        <w:t xml:space="preserve">Quelle: </w:t>
      </w:r>
      <w:r>
        <w:t>https://mcp.opencaselaw.ch/entscheid/bvger_A-1210_2015</w:t>
      </w:r>
    </w:p>
    <w:p>
      <w:r>
        <w:t>FR: TAF A-1210/2015 du 25 septembre 2015</w:t>
      </w:r>
    </w:p>
    <w:p>
      <w:r>
        <w:t>IT: TAF A-1210/2015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193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84.90 m2, jusqu'au 31 décembre 2014, puis elle a fait passer cette surface sans justification suffisante à 91.40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91.40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7.3.1</w:t>
      </w:r>
    </w:p>
    <w:p>
      <w:r>
        <w:t>En l'espèce, le nouveau dédommagement du logement de service du recourant a été établi selon un critère objectif, c'est-à-dire en fonction de sa surface (91.40 m2) et de son prix au mètre carré (110 fr./m2).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(110 fr./m2 ; la commune de situation n'appartient pas à l'agglomération genevoise), elle tient compte de la répartition de toutes les communes sur le territoire suisse conformément aux données de l'OFS et de l'indice suisse des prix à la consommation (110.92 points [2012], précédemment 100 points [2000]). Cette méthode de calcul repose donc sur l'art. 59 al. 2 O-OPers et la jurisprudence (cf. JAAC 65.81 consid. 5b). Il n'y a pas lieu d'y revenir. Ainsi, le montant du dédommagement fixé en l'occurrence par l'autorité inférieure (837 fr. 85,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46.8 %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 recourant, en accord avec le principe de la proportionnalité. On ne saurait enfin donner prise aux arguments de celui 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serait particulièrement isolé ou souffrirait d'autres inconvénients particuliers. L'autorité inférieure n'a dès lors pas outrepassé son pouvoir d'appréciation en accordant une unique déduction de 5 % (équipement non complet). Enfin, la présente procédure ne porte pas sur les travaux d'entretien ou les menus travaux de nettoyage ou de réparation du logement de service (cf. supra, consid. 2.2). Il ne paraît à cet égard cependant pas inutile de rappeler que l'employé bénéficiant d'un logement de service doit prendre soin du logement et de ses équipements. Si les défauts au logement ou au bâtiment excèdent ces menus travaux, il lui appartient en outre de les annoncer au responsable des bâtiments pour leur remise en état (cf. Instructions de la Direction générale des douanes du 1er septembre 2014 [Logements de service et logements locatifs], ch. 1.19 ss).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