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A-1204/2015 vom 25. September 2015</w:t>
      </w:r>
    </w:p>
    <w:p>
      <w:r>
        <w:t>Bundesverwaltungsgericht, 2015-09-25, FR</w:t>
      </w:r>
    </w:p>
    <w:p>
      <w:r>
        <w:rPr>
          <w:b/>
        </w:rPr>
        <w:t xml:space="preserve">Quelle: </w:t>
      </w:r>
      <w:r>
        <w:t>https://mcp.opencaselaw.ch/entscheid/bvger_A-1204_2015</w:t>
      </w:r>
    </w:p>
    <w:p>
      <w:r>
        <w:t>FR: TAF A-1204/2015 du 25 septembre 2015</w:t>
      </w:r>
    </w:p>
    <w:p>
      <w:r>
        <w:t>IT: TAF A-1204/2015 del 25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467 francs, répartie sur quatre ans,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au recourant.</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au recourant, afin qu'il puisse remplir au mieux ses obligations professionnelles, au vu des contraintes liées à sa fonction (services de piquet, tâches de surveillance, etc. ; voir ég. Feuille fédérale [FF] 1999 I 1443). L'utilisation du logement n° (...)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 Le recourant n'en disconvient pas.</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 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 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 vaisselle). Si cela est techniquement possible et financièrement acceptable, les installations manquantes seront acquises ultérieurement (ch. 3.1 al. 2).</w:t>
      </w:r>
    </w:p>
    <w:p>
      <w:r>
        <w:rPr>
          <w:b/>
        </w:rPr>
        <w:t>E. 5.1</w:t>
      </w:r>
    </w:p>
    <w:p>
      <w:r>
        <w:t>Le recourant estime, tout d'abord, que les directives précitées du DFF du 1er août 2013 sur le dédommagement et les charges à payer pour l'utilisation d'un logement de service rentrent dans la catégorie des ordonnances administratives dans la mesure où elles ne sont pas publiées au recueil systématique (cf. mémoire de recours, p. 11, 2ème paragraphe i. f.). Il estime que cela "peut ouvrir la porte à une critique du point de vue du principe de la base légale".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5.1).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le recourant, mais des prescriptions déployant des effets externes et opposables aux sujets de droit qu'elles concernent. Il convient de rejeter en ce sens le grief du recourant.</w:t>
      </w:r>
    </w:p>
    <w:p>
      <w:r>
        <w:rPr>
          <w:b/>
        </w:rPr>
        <w:t>E. 6.1</w:t>
      </w:r>
    </w:p>
    <w:p>
      <w:r>
        <w:t>Le recourant reproche, ensuite, à l'autorité inférieure d'avoir constaté les faits de manière inexacte et en violation du principe de la bonne foi. Il expose, à l'appui de son grief, que l'autorité inférieure a arrêté la surface de son logement à 84.40 m2, jusqu'au 31 décembre 2014, puis elle a fait passer cette surface sans justification suffisante à 104.50 m2. L'autorité inférieure lui oppose que la norme SIA 416, prévue par les directives de 2013, a été appliquée correctement par un architecte mandaté au cas d'espèce. Elle conduit à une nouvelle définition de la surface habitable du logement (surface nette ou SPN) et tient en particulier compte des halls d'entrée, des corridors, ainsi que de la circonstance que les locaux mansardés sont dorénavant mesurés à 150 cm (contre 180 cm auparavant).</w:t>
      </w:r>
    </w:p>
    <w:p>
      <w:r>
        <w:rPr>
          <w:b/>
        </w:rPr>
        <w:t>E. 6.2</w:t>
      </w:r>
    </w:p>
    <w:p>
      <w:r>
        <w:t>Découlant directement des art. 5 al. 3 Cst. et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ATF 137 I 69 consid. 2.5.1 ; arrêt du Tribunal administratif fédéral A-6982/2013 du 24 juin 2015 consid. 4 et réf. cit.). Pour que le justiciable puisse invoquer cette protection, il faut que l'autorité qui a donné son assurance ait été compétente pour le faire, ou que le justiciable ait pu la considérer comme telle (ATF 137 II 182 consid. 3.6.2, ATF 127 I 31 consid. 3a ; arrêt du Tribunal administratif fédéral A 4790/2012 du 23 juillet 2014 consid. 5.3.1 et réf. cit.).</w:t>
      </w:r>
    </w:p>
    <w:p>
      <w:r>
        <w:rPr>
          <w:b/>
        </w:rPr>
        <w:t>E. 6.2.1</w:t>
      </w:r>
    </w:p>
    <w:p>
      <w:r>
        <w:t>Le dédommagement lié à l'occupation d'un logement de service n'a en principe pas le caractère d'un droit acquis (voir ATF 138 V 366 consid. 6.1),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Des droits acquis ne naissent dès lors en faveur des agents de la Confédération que si la loi fixe une fois pour toutes les situations particulières et les soustrait aux effets des modifications légales ou lorsque des assurances précises ont été données à l'occasion d'un engagement individuel (ATF 134 I 23 consid. 7.1). Le principe de la bonne foi ne fait pas davantage obstacle à une modification de la loi lorsque celle-ci repose sur des motifs sérieux et objectifs. Une violation de ce principe n'entre en considération que si le législateur a donné des assurances précises que la loi ne serait pas modifiée ou qu'elle serait maintenue telle quelle pendant un certain temps, fondant ainsi un droit acquis (cf. ATF 130 I 26 consid. 8.1).</w:t>
      </w:r>
    </w:p>
    <w:p>
      <w:r>
        <w:rPr>
          <w:b/>
        </w:rPr>
        <w:t>E. 6.2.2</w:t>
      </w:r>
    </w:p>
    <w:p>
      <w:r>
        <w:t>En l'occurrence, la manière d'estimer la surface habitable des logements de service a changé par rapport aux directives (2005) précédentes. Elle se définit aujourd'hui au regard de la norme SIA 416 (cf. ch. 3.2 des directives du 1er août 2013) et contient les deux précisions suivantes : les pièces mansardées sont mesurées à 150 cm au-dessus du sol (let. a) et les pièces chauffées situées hors de l'appartement comptent pour la moitié de leur surface au sol (let. b). Les pièces ne pouvant être chauffées sont par ailleurs assimilées aux réduits (surface utile secondaire) et ne sont pas prises en compte dans la surface au sol. Le recourant ne fait en outre pas valoir qu'il aurait été mis au bénéfice d'une promesse ou d'un droit acquis en relation avec l'estimation de la surface habitable de son logement. On ne saurait dès lors faire grief à l'autorité inférieure, compte tenu de la retenue qui s'impose au Tribunal dans ce domaine, d'avoir mandaté un architecte pour évaluer la surface habitable du logement de service du recourant et de lui avoir demandé d'appliquer à cette occasion les prescriptions pertinentes des directives du 1er août 2013 et la norme SIA 416 (2003). Le Tribunal fédéral a d'ailleurs déjà eu l'occasion de rappeler qu'il s'agit aujourd'hui de la norme déterminante en vigueur (cf. arrêt du Tribunal fédéral 7B.118/2006 du 7 novembre 2006 consid. 2.1). Le recourant ne fait enfin valoir aucune erreur concrète de l'architecte, qui a procédé aux mesures. Il s'ensuit que le Tribunal retient que le logement de service du recourant occupe une surface habitable de 104.50 m2. Le grief y afférent du recourant sera rejeté.</w:t>
      </w:r>
    </w:p>
    <w:p>
      <w:r>
        <w:rPr>
          <w:b/>
        </w:rPr>
        <w:t>E. 7.1</w:t>
      </w:r>
    </w:p>
    <w:p>
      <w:r>
        <w:t>Le recourant affirme, encore, que les modalités fixées dans les directives du DFF pour estimer le dédommagement de son logement de service aboutissent un résultat excessif et sans réelle justification. Le renchérissement cumulé n'aurait en tout cas pas atteint le niveau de la hausse du dédommagement et le logement présenterait une absence d'entretien et de travaux en plus-value. L'autorité inférieure lui oppose que la méthode de calcul est objective et repose sur les données scientifiquement établies par l'Office fédéral de la statistique OFS.</w:t>
      </w:r>
    </w:p>
    <w:p>
      <w:r>
        <w:rPr>
          <w:b/>
        </w:rPr>
        <w:t>E. 7.2</w:t>
      </w:r>
    </w:p>
    <w:p>
      <w:r>
        <w:t>L'occupation d'un logement de service excède l'usage commun et peut de ce fait donner lieu à la perception d'un dédommagement. Les dédommagements perçus pour l'usage particulier d'un bien appartenant à l'Etat sont soumis - comme le rappelle le recourant -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 et réf. cit.).</w:t>
      </w:r>
    </w:p>
    <w:p>
      <w:r>
        <w:rPr>
          <w:b/>
        </w:rPr>
        <w:t>E. 7.3.1</w:t>
      </w:r>
    </w:p>
    <w:p>
      <w:r>
        <w:t>En l'espèce, le nouveau dédommagement du logement de service du recourant a été établi selon un critère objectif, c'est-à-dire en fonction de sa surface (104.50 m2) et de son prix au mètre carré (150 fr./m2 pour l'agglomération de Genève). Ces critères, posés par les directives du DFF (cf. ch. 3), ont pour but de ne pas créer des différences injustifiées entre les gardes-frontière attribués à une région donnée.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7.3.2</w:t>
      </w:r>
    </w:p>
    <w:p>
      <w:r>
        <w:t>Quant à la valeur au mètre carré retenue par l'autorité inférieure (150 fr./m2), elle tient compte de la répartition de toutes les communes sur le territoire suisse conformément aux données de l'Office fédéral de la statistique OFS et de l'indice suisse des prix à la consommation (110.92 points [2012], précédemment 100 points [2000]). Cette méthode de calcul repose donc sur la jurisprudence, qui a déjà notamment rappelé que l'inclusion de certaines communes genevoises et vaudoises dans l'agglomération de Genève, opérées par l'Office fédéral de la statistique OFS, repose sur une analyse scientifique crédible, fondée sur des critères transparents et tangibles et émanant au surplus d'un office fédéral spécialisé en la matière (cf. JAAC 65.81 consid. 5b). Il n'y a pas lieu d'y revenir. Ainsi, le montant du dédommagement fixé en l'occurrence par l'autorité inférieure (1'306 fr. 25, hors supplément/déduction), pour un quatre pièces, dépasse légèrement la fourchette de 70 % du loyer d'objets comparables selon les usages locaux. En effet, le loyer moyen de l'ensemble des logements de 5 pièces dans le canton de Genève (la cuisine est comptée comme une pièce, selon l'art. 1 du règlement genevois d'exécution de la loi générale sur le logement et la protection des locataires du 24 août 1992) est de 1'789 francs (cf. Annuaire statistique du canton de Genève, 2013, T 05.15 p. 126) et celui des logements de 4 pièces, dans le canton de Vaud, de 1'607 francs (cf. Canton de Vaud, Statistique Vaud, Loyer moyen des logements occupés selon la taille, 24 novembre 2014, 2012). Le dédommagement fixé par l'autorité inférieure représente donc 73 % (GE) ou 81 % (VD) de ce montant. Ce dépassement s'explique néanmoins aisément par la situation du logement de service au sein du bâtiment (duplex au rez-de-chaussée ; cf. feuille de relève du 10 juin 2014) et par la surface habitable de 104.50 m2. Dans le canton de Genève (l'agglomération de Genève est déterminante en l'espèce), un 5 pièces (cuisine comprise) présente en effet une surface comprise entre 90 m2 et 108 m2 et une surface moyenne de 97 m2 (cf. Office cantonal genevois de la statistique, Communications statistiques, Surfaces et loyers des logements dans le canton de Genève, Statistique cantonale des loyers de mai 2005, p. 8, T - 01 Surface moyenne des logements en 2005). La surface du logement de service attribué au recourant dépasse ainsi ses besoins. Si l'on se réfère aux normes de construction récentes, l'on peut d'ailleurs également signaler que, s'agissant des logements de service, l'Office fédéral des constructions et de la logistique OFCL mentionne qu'une surface de plancher nette de 100-120 m2 correspond plutôt à un quatre pièces et demi (sans compter la cuisine, cf. Directives de l'OFCL pour l'aména­gement des logements de service lors de nouvelles construction, annexées aux Directives du DFF de 2013). Dans ces circonstances, le dédommagement fixé par l'autorité inférieure n'apparaît pas hors de proportion avec la prestation octroyée. Il faut également relever que, par le choix d'une augmentation échelonnée en quatre tranches, l'autorité inférieure est parvenue à limiter raisonnablement les inévitables désagréments pour le recourant, en accord avec le principe de la proportionnalité. On ne saurait enfin donner prise aux arguments de celui ci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 par le législateur (ATF 136 I 197 consid. 4.2, ATF 136 V 24 consid. 7.1). Or, en l'espèce, le Tribunal estime que les directives reposent sur la constante, rappelée par l'autorité inférieure, que les différents logements de fonction sont anciens et présentent de ce fait un confort moyen. A cet égard, il est en outre manifeste que les logements de fonction des gardes-frontière se situent généralement à proximité d'une douane et, donc, à proximité d'une voie de circulation transfrontalière. Il n'y a dès lors pas lieu de procéder à des déductions supplémentaires pour ces motifs, ceux-ci étant inhérents aux tâches que doivent remplir les gardes-frontière, et le recourant n'a pas apporté d'indices suffisants, malgré les occasions offertes, que son logement de service présenterait actuellement des alentours défavorables ou un isolement particulier. L'autorité inférieure n'a dès lors pas outrepassé son pouvoir d'appréciation en retenant que la situation du logement de fonction était normale. Les différents griefs du recourant seront par conséquent rejetés.</w:t>
      </w:r>
    </w:p>
    <w:p>
      <w:r>
        <w:rPr>
          <w:b/>
        </w:rPr>
        <w:t>E. 7.4</w:t>
      </w:r>
    </w:p>
    <w:p>
      <w:r>
        <w:t>Au vu des considérants qui précèdent, la décision attaquée est conforme au droit et le recours s'avère mal fondé, ce qui conduit à son rejet.</w:t>
      </w:r>
    </w:p>
    <w:p>
      <w:r>
        <w:rPr>
          <w:b/>
        </w:rPr>
        <w:t>E. 8.1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8.2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