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A-1200/2018 vom 13. Februar 2019</w:t>
      </w:r>
    </w:p>
    <w:p>
      <w:r>
        <w:t>Bundesverwaltungsgericht, 2019-02-13, DE</w:t>
      </w:r>
    </w:p>
    <w:p>
      <w:r>
        <w:rPr>
          <w:b/>
        </w:rPr>
        <w:t xml:space="preserve">Quelle: </w:t>
      </w:r>
      <w:r>
        <w:t>https://mcp.opencaselaw.ch/entscheid/bvger_A-1200_2018</w:t>
      </w:r>
    </w:p>
    <w:p>
      <w:r>
        <w:t>FR: TAF A-1200/2018 du 13 février 2019</w:t>
      </w:r>
    </w:p>
    <w:p>
      <w:r>
        <w:t>IT: TAF A-1200/2018 del 13 febbraio 2019</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7. Aufl. 2016, N. 988, 990 und 998; PIERRE TSCHANNEN/ ULRICH ZIMMERLI/MARKUS MÜLLER, Allgemeines Verwaltungsrecht, 4. Aufl. 2014, § 30 N. 23 und 26; ANDRÉ MOSER/MICHAEL BEUSCH/LORENZ KNEU-BÜHLER, Prozessieren vor dem Bundesverwaltungsgericht, 2. Aufl. 2013, N. 1.52 und 1.54).</w:t>
      </w:r>
    </w:p>
    <w:p>
      <w:r>
        <w:rPr>
          <w:b/>
        </w:rPr>
        <w:t>E. 1.4</w:t>
      </w:r>
    </w:p>
    <w:p>
      <w:r>
        <w:t>Der prozessuale Antrag der Beschwerdeführerin auf Beizug der vorinstanzlichen Akten ist durch die Einreichung der Akten der Vorinstanz anlässlich der Vernehmlassung als erfüllt zu betrachten.</w:t>
      </w:r>
    </w:p>
    <w:p>
      <w:r>
        <w:rPr>
          <w:b/>
        </w:rPr>
        <w:t>E. 2.1.1</w:t>
      </w:r>
    </w:p>
    <w:p>
      <w:r>
        <w:t>Der Bund erhebt eine Verrechnungssteuer auf dem Ertrag beweglichen Kapitalvermögens (Art. 132 Abs. 2 der Bundesverfassung der Schweizerischen Eidgenossenschaft vom 18. April 1999 [BV, SR 101];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2.1.2</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2.1.3</w:t>
      </w:r>
    </w:p>
    <w:p>
      <w:r>
        <w:t>Steuerpflichtig ist der Schuldner der steuerbaren Leistung (Art. 10 Abs. 1 VStG). Die steuerbare Leistung ist sodann bei der Auszahlung, Überweisung, Gutschrift oder Verrechnung ohne Rücksicht auf die Person des Gläubigers um den Steuerbetrag zu kürzen (vgl. Art. 14 Abs. 1 VStG).</w:t>
      </w:r>
    </w:p>
    <w:p>
      <w:r>
        <w:rPr>
          <w:b/>
        </w:rPr>
        <w:t>E. 2.2.1</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Der Begriff der geldwerten Leistung im Sinne von Art. 20 VStV entspricht grundsätzlichen jenem von Art. 20 Abs. 1 Bst. c des Bundesgesetzes vom 14. Dezember 1990 über die direkte Bundessteuer (DBG, SR 642.11; BGE 143 IV 228; Urteile des BGer 2C_123/2016 vom 21. November 2017 E. 3.3, 2C_263/2014 vom 21. Januar 2015 E. 5.1; Urteil des BVGer A-4091/2016 vom 24. Januar 2018 E. 2.3.1).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Urteile des BVGer A-592/2016 vom 18. April 2018 E. 5.3).</w:t>
      </w:r>
    </w:p>
    <w:p>
      <w:r>
        <w:rPr>
          <w:b/>
        </w:rPr>
        <w:t>E. 2.2.2</w:t>
      </w:r>
    </w:p>
    <w:p>
      <w:r>
        <w:t>Zu den geldwerten Leistungen in diesem Sinne zählen auch ver-deckte Gewinnausschüttungen (vgl. auch Art. 58 Abs. 1 Bst. b DBG). «Geldwerte Vorteile» sind als Begriff dabei das Gegenstück zu den «ver-deckten Gewinnausschüttungen». Während der erste Begriff den Vorteil aus der Sicht des Begünstigten darstellt, ist für den letzten Begriff die Sicht der leistenden Gesellschaft massgebend (FELIX RICHNER/WALTER FREI/ STEFAN KAUFMANN/HANS ULRICH MEUTER, Handkommentar zum DBG, 3. Aufl. 2016, Art. 20 N. 140 m.Hw. auf PETER LOCHER, Kommentar zum DBG, I. Teil, 2001, Art. 20 N. 120). Im Einzelnen setzt die Annahme einer geldwerten Leistung in Form einer verdeckten Gewinnausschüttung gemäss ständiger Rechtsprechung voraus, dass die folgenden Vorausset-zungen (kumulativ) erfüllt sind (Urteil des BVGer A-4091/2016 vom 24. Januar 2018 E. 2.3.2):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2.2.3</w:t>
      </w:r>
    </w:p>
    <w:p>
      <w:r>
        <w:t>Eine verdeckte Gewinnausschüttung liegt beispielsweise vor, wenn die Gesellschaft die geldwerte Leistung zu Lasten der gegenwärtigen oder künftigen Erfolgsrechnung ausrichtet. Die gegenwärtige Erfolgsrechnung wird beispielsweise dann belastet, wenn die Gesellschaft einen zu hohen Aufwand verbucht. Bei überhöhter Belastung eines Bestandeskontos zufolge überpreislichen Erwerbs eines Aktivums erfolgt die Belastung in der Regel in einer späteren Rechnungsperiode bei der Abschreibung auf den überhöhten Anschaffungskosten (Urteil des BVGer A-592/2016 vom 18. April 2018 E. 5.4.3).</w:t>
      </w:r>
    </w:p>
    <w:p>
      <w:r>
        <w:rPr>
          <w:b/>
        </w:rPr>
        <w:t>E. 2.2.4</w:t>
      </w:r>
    </w:p>
    <w:p>
      <w:r>
        <w:t>Die Prüfung dieser Kriterien erfolgt einzig aus Sicht der leistenden Gesellschaft und nicht aus jener des Leistungsempfängers (Urteile des BVGer A-1427/2016 vom 9. August 2017 E. 2.2.3, A-2637/2016 vom 7. Ap-ril 2017 E. 2.3). Die Beurteilung erfolgt zum Zeitpunkt, in dem die Leistung gewährt wurde. Spätere Entwicklungen können nur insofern berücksichtigt werden, als sie bereits zu diesem Zeitpunkt absehbar waren (Urteil des BVGer A-4091/2016 vom 24. Januar 2018 E. 2.3.3, YVES NOËL, in: Noël/Aubry Girardin [Hrsg.], Commentaire romand, Impôt fédéral direct, 2. Aufl. 2017 [nachfolgend: Commentaire romand], Art. 20 N. 89; ROBERT DANON, Commentaire romand, Art. 57, 58 N. 240).</w:t>
      </w:r>
    </w:p>
    <w:p>
      <w:r>
        <w:rPr>
          <w:b/>
        </w:rPr>
        <w:t>E. 2.3.1</w:t>
      </w:r>
    </w:p>
    <w:p>
      <w:r>
        <w:t>Ein Element der steuerlichen Erfassung einer verdeckten Gewinnausschüttung ist die Bestimmung der Angemessenheit von Leistung und Gegenleistung (vgl. E. 2.2.2 Voraussetzung (1)). Rechtsgeschäfte zwischen Kapitalgesellschaften und Beteiligungsinhabern werden steuerlich anerkannt, soweit die vereinbarten Vertragsbedingungen einem «sachgemässen Geschäftsgebaren» entsprechen. Es wird - mit anderen Worten - objektiv darauf abgestellt, ob eine Ausgabe nach kaufmännischer Anschauung im Interesse des Unternehmenszieles getätigt wird und durch die unternehmerische Zweckbestimmung gedeckt ist. Für die Beurteilung der Angemessenheit von Leistung und Gegenleistung wird der sogenannte Drittvergleich angestellt (oder Prinzip des «dealing at arm's length»). Verlangt wird, dass Rechtsgeschäfte mit Beteiligungsinhabern zu den gleichen Bedingungen abzuwickeln sind, wie sie mit aussenstehenden Dritten zu Wettbewerbs- und Marktbedingungen (sog. Verkehrswert) vereinbart werden würden (BGE 140 II 88 E. 4.1, 138 II 545 E. 3.2; Urteile des BVGer A-592/2016 vom 18. April 2018 E. 5.5.1, A-4091/2016 vom 24. Januar 2018 E. 2.4.1).</w:t>
      </w:r>
    </w:p>
    <w:p>
      <w:r>
        <w:rPr>
          <w:b/>
        </w:rPr>
        <w:t>E. 2.3.2</w:t>
      </w:r>
    </w:p>
    <w:p>
      <w:r>
        <w:t>Rechtsprechungsgemäss werden Zahlungen, die buchhalterisch weder erfasst noch ausreichend belegt sind, als geldwerte Leistungen betrachtet (vgl. Urteil des BGer 2C_557/2010 vom 4. November 2010 E. 2.3).</w:t>
      </w:r>
    </w:p>
    <w:p>
      <w:r>
        <w:rPr>
          <w:b/>
        </w:rPr>
        <w:t>E. 2.3.3</w:t>
      </w:r>
    </w:p>
    <w:p>
      <w:r>
        <w:t>Demgegenüber sind 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nicht der Verrechnungssteuer unterworfen, da keine geldwerte Leistung angenommen werden kann (vgl. BGE 119 Ib 431 E. 2b; Urteile des BVGer A-3822/2016 vom 19. Dezember 2017 E. 4.1.2, A-1427/2016 vom 9. August 2017 E. 2.3.1).</w:t>
      </w:r>
    </w:p>
    <w:p>
      <w:r>
        <w:rPr>
          <w:b/>
        </w:rPr>
        <w:t>E. 2.3.4</w:t>
      </w:r>
    </w:p>
    <w:p>
      <w:r>
        <w:t>Bei der Beantwortung der Frage, ob ein Missverhältnis zwischen Leistung und Gegenleistung vorliegt, darf die ESTV nicht ihr eigenes Ermessen an dasjenige des Steuerpflichtigen setzen (Urteile des BGer 2C_708/2012 vom 21. Dezember 2012 [in BGE 139 I 64 nicht publizierte] E. 4.2, 2C_386/2012 und 2C_387/2012 vom 16. November 2012 E. 5; Urteil des BVGer A-4091/2016 vom 24. Januar 2018 E. 2.3.4, NOËL, Commentaire romand, Art. 20 N. 81; in Bezug auf Darlehen: BRÜLISAUER/MÜHLEMANN, Kommentar DBG, Art. 58 N. 310; vgl. dazu auch E. 2.6.6).</w:t>
      </w:r>
    </w:p>
    <w:p>
      <w:r>
        <w:rPr>
          <w:b/>
        </w:rPr>
        <w:t>E. 2.4.1</w:t>
      </w:r>
    </w:p>
    <w:p>
      <w:r>
        <w:t>Nahestehende Personen (vgl. E. 2.2.2 Voraussetzung (2))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(vgl. E. 2.2.2 Voraussetzung (3) statt vieler: Urteile des BGer 2C_177/2016 und 2C_178/2016 vom 30. Januar 2017 E 4.3). Dabei kann es sich um Gesellschaften derselben Gruppe handeln, z.B. Schwestergesellschaften oder eine Grossmuttergesellschaft (DANON, Commentaire romand, Art. 57, 58 N. 202). Das Bundesgericht spricht ebenfalls von einer massgeblichen Beherrschung, wenn die leistende Gesellschaft mittelbar durch eine zwischengeschaltete Gesellschaft beherrscht wird. Das heisst, der Leistungsempfänger beherrscht die leistende Gesellschaft indirekt über die unmittelbar gehaltene Muttergesellschaft, und wird steuerlich so betrachtet, als ob er die leistende Tochtergesellschaft selbst beherrschen würde (RICHNER/FREI/KAUFMANN/MEUTER, a.a.O., Art. 20 N. 143a m.Hw.a. BGE 113 Ib 23 E. 3a). Die Nutzniessung an Anteilen am Gesellschaftskapital kann mit dem Eigentum an diesen Anteilen gleichgesetzt werden (DANON, Commentaire romand, Art. 57, 58 N. 195; vgl. Art. 690 Abs. 2 des Obligationenrechts vom 30. März 1911 [OR, SR 220]; Urteil des BVGer A-416/2017 vom 2. Juli 2018 E. 5.5.2, A-592/2016 vom 18. April 2018 E. 5.5.2, A-4091/2016 vom 24. Januar 2018 E. 2.5).</w:t>
      </w:r>
    </w:p>
    <w:p>
      <w:r>
        <w:rPr>
          <w:b/>
        </w:rPr>
        <w:t>E. 2.4.2</w:t>
      </w:r>
    </w:p>
    <w:p>
      <w:r>
        <w:t>Nahestehend sind auch Personen, denen der Gesellschaftseigner erlaubt, die Gesellschaft wie eine eigene Gesellschaft zu benutzen (Urteile des BGer 2C_16/2015 vom 6. August 2015 E. 2.3.2, 2C_557/2010 vom 4. November 2010 E. 2.1 mit weiteren Hinweisen auf die Rechtsprechung).</w:t>
      </w:r>
    </w:p>
    <w:p>
      <w:r>
        <w:rPr>
          <w:b/>
        </w:rPr>
        <w:t>E. 2.5.1</w:t>
      </w:r>
    </w:p>
    <w:p>
      <w:r>
        <w:t>Die Steuerbehörde trägt die Beweislast für die steuerbegründenden und steuererhöhenden, der Steuerpflichtige für die steueraufhebenden und -mindernden Tatsachen (BGE 140 II 248 E. 3.5, 121 II 257 E. 4c/aa; Urteil des BVGer A-4091/2016 vom 24. Januar 2017 E. 2.6.2). Eine Korrektur erfolgt nur bei Vorliegen eines eindeutigen, offensichtlichen Missverhältnisses (Urteil des BVGer A-4091/2016 vom 24. Januar 2017 E. 2.4.2).</w:t>
      </w:r>
    </w:p>
    <w:p>
      <w:r>
        <w:rPr>
          <w:b/>
        </w:rPr>
        <w:t>E. 2.5.2</w:t>
      </w:r>
    </w:p>
    <w:p>
      <w:r>
        <w:t>Die Beweislast für das Vorliegen eines Steuerobjekts als steuerbe-gründende Tatsache und damit auch für das Bestehen einer geldwerten Leistung obliegt demnach der Steuerbehörde (Urteil des BGer 2C_263/2014 vom 21. Januar 2015 E. 5.2 mit Hinweisen, 2C_377/2009 vom 9. September 2009 E. 3.4; BVGE 2011/45 E. 4.3.2.2; Urteil des BVGer A-1427/2016 vom 9. August 2017 E. 2.2.2.2; DUSS/HELBING/DUSS, Kom-mentar VStG, Art. 4 N. 132a). Diese Beweislast der Steuerbehörde gilt für alle drei bzw. vier Elemente der geldwerten Leistung (E. 2.2.2).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2.5.4 f.), ist es am Steuerpflichtigen, diesen Beweis mit einem Gegenbeweis (zum Beispiel der «geschäftsmässigen Begründetheit» einer Leis-tung) zu entkräften. Die in den Urteilen erwähnte «geschäftsmässige Be-gründetheit» stammt aus dem Recht der direkten Steuern und ist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(E. 2.5.4) und der Steuerpflichtige den Gegenbeweis zu führen haben, wäre dieser unter anderem mit dem Beweis der (direktsteuerlichen) geschäftsmässigen Begründetheit denkbar (BVGE 2011/45 E. 4.3.2.2, Urteile des BVGer A-4091/2016 vom 24. Januar 2018 E. 2.6.3, A-3822/2016 vom 19. Dezember 2017 E. 4.3.2, A-7956/2015 vom 30. Juni 2016 E. 2.4).</w:t>
      </w:r>
    </w:p>
    <w:p>
      <w:r>
        <w:rPr>
          <w:b/>
        </w:rPr>
        <w:t>E. 2.5.3</w:t>
      </w:r>
    </w:p>
    <w:p>
      <w:r>
        <w:t>In zahlreichen Urteilen des Bundesgerichts und Bundesverwaltungs-gerichts ist davon die Rede, dass es dem Steuerpflichtigen wegen seiner Pflichten aus Art. 39 VStG zu beweisen obliege, dass eine fragliche Leis-tung geschäftsmässig begründet sei. Es wird ausgeführt, dass die Steuer-behörde sichergehen können müsse, dass ausschliesslich geschäftliche Gründe für eine bestimmte Leistung ausschlaggebend gewesen seien (BGE 119 Ib 431 E. 2c; Urteile des BGer 2C_499/2011 vom 9. Juli 2012 E. 4.3, 2C_557/2010 vom 4. November 2010 E. 2.3; Urteile des BVGer A-3822/2016 vom 19. Dezember 2017 E. 4.3.3, A-5433/2015 und A-5505/2015 vom 2. März 2017 E. 3.3.5; siehe auch: MARKUS KÜPFER, Kommentar VStG, Art. 39 N. 7). Diese Aussage, dass dem Steuerpflichti-gen «zu beweisen obliege», dass eine Leistung geschäftsmässig begrün-det sei, greift jedoch zu kurz. Wie in E. 2.5.2 aufgezeigt, hat die Steuerbe-hörde nachzuweisen, dass die Tatbestandselemente einer geldwerten Leistung vorliegen; der Steuerpflichtige kann aber, wenn die Steuerbe-hörde diesen Nachweis zu erbringen scheint, den Gegenbeweis liefern, dass die Aufwendungen geschäftlich begründet sind (zum Ganzen: BVGE 2011/45 E. 4.3.2.1 f.; Urteile des BVGer A-7956/2015 vom 30. Juni 2016 E. 2.4, A-5210/2014 vom 30. März 2015 E. 2.4). Selbstveranlagungsprin-zip und Mitwirkungspflicht (Art. 38 f. VStG) ändern grundsätzlich nichts an der Beweislastverteilung. Jedoch kann eine Verletzung der Mitwirkungs-pflicht mit der Folge einer Beweisnot der Steuerbehörde gegebenenfalls zu einer Umkehr der Beweislast führen (Urteil des BVGer A-4091/2016 vom 24. Januar 2018 E. 2.6.4; ausführlich dazu: Urteil des BVGer A-629/2010 vom 29. April 2011 E. 3.1, E. 3.4 und E. 4.3.2.2, teilweise publiziert in: BVGE 2011/45).</w:t>
      </w:r>
    </w:p>
    <w:p>
      <w:r>
        <w:rPr>
          <w:b/>
        </w:rPr>
        <w:t>E. 2.5.4</w:t>
      </w:r>
    </w:p>
    <w:p>
      <w:r>
        <w:t>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131 II 593 E. 5.2, 119 Ib 431 E. 3b, 115 Ib 274 E. 9b). Die Verrechnungssteuer ist auch zu erheben, wenn eine Gesellschaft einer anderen, die vom selben Aktionär beherrscht wird, Vorteile gewährt, sofern eine wirtschaftliche Rechtfertigung für ein solches Vorgehen vollständig fehlt (BGE 138 II 57 E. 4.2; Urteil des BGer 2C_177/2016 und 2C_178/2016 vom 30. Januar 2017 E. 4.3; THOMAS GEHRIG, Der Tatbestand der verdeckten Gewinnausschüttung an einen nahestehenden Dritten, 1998, S. 160 f.). Im internationalen Bereich werden diese Anforderungen besonders streng angewendet (DANON, Commentaire romand, Art. 57, 58 N. 204). Es kann in solchen Konstellationen grundsätzlich offen bleiben, wer konkret, das heisst mit Namen und Adresse, in den Genuss der untersuchten Leistung kam (zum Ganzen: Urteil des BVGer A-4091/2016 vom 24. Januar 2018 E. 2.6.5; HOCHREUTENER, a.a.O., Teil II § 3 N. 306).</w:t>
      </w:r>
    </w:p>
    <w:p>
      <w:r>
        <w:rPr>
          <w:b/>
        </w:rPr>
        <w:t>E. 2.5.5</w:t>
      </w:r>
    </w:p>
    <w:p>
      <w:r>
        <w:t>Es gibt Stimmen in der Lehre, die darauf hinweisen, dass der Um-stand, dass der Dritte eine aussergewöhnliche Leistung empfängt, allein noch keine derartige Verbindung zum Gesellschafter begründe; vielmehr sei eine zusätzliche, objektiv feststellbare Beziehung zu diesem erforder-lich (RICHNER/FREI/KAUFMANN/MEUTER, a.a.O., Art. 20 N. 148; ausführlich dazu auch BRÜLISAUER/MÜHLEMANN, a.a.O., Art. 58 N. 286 ff.; HEUBERGER, a.a.O., S. 215 f.). Es wird aber auch festgehalten, die Problematik des In-dizienbeweises zeige sich unter anderem darin, dass es dem Fiskus nicht anstehe, zu beurteilen, ob Zuwendungen an "echte" Dritte betriebswirt-schaftlich sinnvoll seien, bzw. dürfe die Verwaltung oder das Gericht nicht das eigene Ermessen an die Stelle desjenigen der Geschäftsleitung der Gesellschaft setzen (DANON, Commentaire romand, Art. 57, 58 N. 206; RICHNER/FREI/KAUFMANN/MEUTER, a.a.O., Art. 58 N. 92; DUSS/HELBING/ DUSS, Kommentar VStG, Art. 4 N. 143b; BRÜLISAUER/MÜHLEMANN, a.a.O., Art. 58 N. 219, 276; vgl. HEUBERGER, a.a.O., S. 185). Zusammengefasst gehen diese Positionen dahin, dass bei einem Indizienbeweis, der sich auf ein Missverhältnis zwischen Leistung und Gegenleistung bezieht, dann auf eine Leistung an eine nahestehende Person geschlossen werden darf, wenn dieses Missverhältnis offensichtlich ist. Dies entspricht dem zuvor genannten Kriterium, dass sich die Annahme, die Leistung sei einem Akti-onär oder einer nahestehenden Person zugekommen, gebieterisch auf-dränge (E. 2.5.4; Urteil des BVGer A-4091/2016 vom 24. Januar 2018 E. 2.6.6).</w:t>
      </w:r>
    </w:p>
    <w:p>
      <w:r>
        <w:rPr>
          <w:b/>
        </w:rPr>
        <w:t>E. 2.6</w:t>
      </w:r>
    </w:p>
    <w:p>
      <w:r>
        <w:t>Behauptet die steuerpflichtige Gesellschaft, sie sei lediglich als Treuhänderin oder Inkassomandatarin und nicht auf eigene Rechnung tätig geworden, so verlangt die Praxis, dass sie dies mittels - aus der Zeit der Begründung des Rechtsverhältnisses stammender - klarer Abmachungen zwischen ihr und dem Auftraggeber belegt. Von besonderer Bedeutung ist dies für internationale Rechtsgeschäfte, entziehen sich solche doch weitgehend der Kontrolle der inländischen Steuerbehörden, weshalb an den Nachweis des betreffenden Rechtsverhältnisses strenge Anforderungen zu stellen sind (vgl. auch BGE 139 II 78 E. 3.1.2; Urteile des BGer 2A.457/2002 vom 19. März 2003 E. 3.2 mit weiteren Hinweisen und 2A.204/1997 vom 26. Mai 1999, publiziert in ASA 68 S. 750 E. 2b; Urteil des BVGer A-4313/2007 vom 7. Mai 2009 E. 2.5).</w:t>
      </w:r>
    </w:p>
    <w:p>
      <w:r>
        <w:rPr>
          <w:b/>
        </w:rPr>
        <w:t>E. 3.1</w:t>
      </w:r>
    </w:p>
    <w:p>
      <w:r>
        <w:t>Im vorliegenden Fall hat die Beschwerdeführerin ihrer russischen Partnergesellschaft diverse italienische Marmorplatten verkauft, die sie über verschiedene ausländische Einkaufsgesellschaften mit Sitz ausserhalb Italiens, etwa in Belize, bezogen hat.</w:t>
      </w:r>
    </w:p>
    <w:p>
      <w:r>
        <w:rPr>
          <w:b/>
        </w:rPr>
        <w:t>E. 3.2</w:t>
      </w:r>
    </w:p>
    <w:p>
      <w:r>
        <w:t>Die Vorinstanz geht davon aus, dass der in der Buchhaltung der Beschwerdeführerin ausgewiesene Jahresverlust für das Geschäftsjahr 2010 darin begründet ist, dass die Beschwerdeführerin übersetzte Aufwände ausgewiesen hat. Sie schliesst dies aus dem Umstand, dass aufgrund der vertraglich mit den Lieferanten bzw. der Partnergesellschaft vereinbarten Einkaufs- und Verkaufspreise eine höhere Marge bzw. ein handelsrechtlicher Gewinn hätte ausgewiesen werden müssen. Mangels Eingangsrechnungen, also den Rechnungen der Lieferanten, seien die Abweichungen nur durch übersetzte Aufwandszahlungen zu erklären.</w:t>
      </w:r>
    </w:p>
    <w:p>
      <w:r>
        <w:rPr>
          <w:b/>
        </w:rPr>
        <w:t>E. 3.3</w:t>
      </w:r>
    </w:p>
    <w:p>
      <w:r>
        <w:t>Zunächst ist zu prüfen, ob die Vorinstanz zu Recht, auf eine geldwerte Leistung geschlossen hat. Hierzu sind die einzelnen Voraussetzungen (E. 2.2) näher zu prüfen. In einem ersten Schritt ist auf den Aspekt des Missverhältnisses einzugehen (E. 3.3.1). In einem zweiten Schritt ist alsdann zu prüfen, ob dieses Missverhältnis im Beteiligungsverhältnis begründet ist (E. 3.3.2).</w:t>
      </w:r>
    </w:p>
    <w:p>
      <w:r>
        <w:rPr>
          <w:b/>
        </w:rPr>
        <w:t>E. 3.3.1</w:t>
      </w:r>
    </w:p>
    <w:p>
      <w:r>
        <w:t>Die in der Buchhaltung der Beschwerdeführerin im Geschäftsjahr 2010 ausgewiesenen Verkaufserträge sind durch die Bankauszüge, den Verkaufsvertrag vom 22. März 2010 und 59 sich darauf beziehende Ausgangsrechnungen mit russischen Zollpapieren belegt. Allerdings wurden sowohl Zahlungen in USD wie auch ein EUR geleistet, obschon die Rechnungen allesamt in USD ausgestellt worden waren. Die verbuchten Aufwände sind ebenfalls durch die Bankauszüge belegt. Die in den Bankauszügen aufgelisteten Zahlungsausgänge lassen jedoch - mit wenigen Ausnahmen - weder auf den Empfänger noch auf einen Zahlungsgrund schliessen. Auch wurden diese Zahlungen sowohl in USD wie auch in EUR geleistet, wobei sie teilweise mit gleicher Valuta gesplittet wurden. Auch die aktenkundigen Kontoauszüge aus der Buchhaltung der Beschwerdeführerin enthalten nur Angaben zur Gegenpartei ohne Hinweis auf den Zahlungsgrund. Weitere Details ergeben sich aus der von der Beschwerdeführerin erstellten Liste, die die einzelnen Zahlungsein- den jeweiligen Ausgängen und den verschiedenen Verträgen bzw. Preissummen zuweist. Mit Ausnahme der Rechnung für 156 Laptops hat die Beschwerdeführerin indessen keine Eingangsrechnungen beigebracht, die die geleisteten Zahlungen näher spezifizieren würden. Die verbuchten Ausgaben zeigen zudem, dass Zahlungen an insgesamt sechs Unternehmungen geflossen sind, wobei für zwei Fälle weder Verträge noch Rechnungen vorhanden sind. Damit durfte die Vorinstanz zu Recht davon ausgehen, dass diesen Zahlungen im verrechnungssteuerlichen Sinn keine bzw. keine ausreichende Gegenleistungen gegenüberstehen (E. 2.2.2). Soweit die Beschwerdeführerin sinngemäss geltend macht, sie könne aufgrund eines Datenverlusts nicht mehr alle Verträge bzw. Rechnungen beibringen, so hat die Vorinstanz zu Recht darauf hingewiesen, dass die Beschwerdeführerin sich bei ihren Geschäftspartnern um Duplikate hätte bemühen müssen. Dies hat die Beschwerdeführerin jedoch unterlassen. Sie hat die ihr daraus erwachsenden Beweisnachteile selbst zu tragen (E. 2.5.1 und 2.5.2). Die ESTV hat aufgrund der Einkaufs- und Verkaufspreise für die einzelnen Produkte eine Marge zwischen (...)% bis (...)% errechnet. Die Jahresrechnung 2010 schliesst jedoch mit einem Handelsverlust ab. Gründe für diese Abweichung sind nicht ersichtlich. Es ist daher nicht zu beanstanden, wenn die ESTV auf ein Missverhältnis schliesst (E. 2.2.2).</w:t>
      </w:r>
    </w:p>
    <w:p>
      <w:r>
        <w:rPr>
          <w:b/>
        </w:rPr>
        <w:t>E. 3.3.2</w:t>
      </w:r>
    </w:p>
    <w:p>
      <w:r>
        <w:t>Zur Frage, ob das Missverhältnis im Beteiligungsverhältnis begründet ist bzw. ein Nahestehender begünstigt wurde, gilt es Folgendes festzuhalten:</w:t>
      </w:r>
    </w:p>
    <w:p>
      <w:r>
        <w:rPr>
          <w:b/>
        </w:rPr>
        <w:t>E. 3.3.2.1</w:t>
      </w:r>
    </w:p>
    <w:p>
      <w:r>
        <w:t>Die 59 Ausgangsrechnungen an die Partnergesellschaft nehmen allesamt auf den Verkaufsvertrag und seinen Anhang 1 Bezug. Die Beschwerdeführerin hat in der von ihr erstellten Zahlungsliste die Preissumme für den Verkaufskontrakt mit USD 11'548'051.78 beziffert. Dieser Betrag entspricht dem im Verkaufsvertrag Anhang 1 Blatt 2 vereinbarten Gesamtpreis. Die Ausgangsrechnungen sind in USD ausgestellt. Insgesamt wurden aus dem Handel mit Steinplatten Handelseinnahmen von total USD 11'970'575.71 in Rechnung gestellt. Vertraglich vereinbart waren USD 11'548'051.79 (bzw. 150'097 Stk.). Damit wurden mehr Waren verkauft als angegeben. Sämtlichen Rechnungen sind russische Zollpapiere beigelegt worden. Es stellt sich daher die Frage, ob die Ware bereits bei Rechnungsstellung nach Russland geliefert worden ist. Dies wiederum zieht die Frage nach sich, weshalb auf den entsprechenden Rechnungen bei der Zahlungsart der Vermerk "Vorauszahlung" angebracht worden ist. Nach der von der ESTV erstellten Aufstellung gingen die Zahlungen zwischen dem 7. Mai 2010 und dem 25. Juni 2010 und damit allesamt nach der Rechnungsstellung bzw. Lieferung ein. Eine "Vorauszahlung" erscheint daher weder glaubhaft noch belegt. Ausserdem erscheint auch eine Lieferung in dieser Grössenordnung ohne weitere aktenkundige Sicherheiten aussergewöhnlich. Aus der von der ESTV erstellten Zusammenstellung ergibt sich ferner, dass ein Teil dieser Ausgangsrechnungen statt in USD in EUR beglichen worden ist. Die Partnergesellschaft ist die einzige Kundin der Beschwerdeführerin.</w:t>
      </w:r>
    </w:p>
    <w:p>
      <w:r>
        <w:rPr>
          <w:b/>
        </w:rPr>
        <w:t>E. 3.3.2.2</w:t>
      </w:r>
    </w:p>
    <w:p>
      <w:r>
        <w:t>Für ihre einzige Kundin erwarb die Beschwerdeführerin vier Arten italienischer Marmorplatten, allesamt in der gleichen Grösse und Breite. Sie schloss hierzu mit drei verschiedenen Einkaufsgesellschaften Verträge ab. Diese drei Einkaufsgesellschaften sind alle drei in unterschiedlichen Ländern domiziliert. Keine dieser Gesellschaften hat ihren Sitz Italien (E. 3.1). Die Einkaufsverträge vom 8. März 2010 und vom 15. März 2010 sehen jeweils einen Lieferzeitraum zwischen Woche 12 und 17 des Jahres 2010 (22. März bis 2. Mai) sowie die nämlichen Preise für die nämlichen Produkte in USD vor. Diese beiden Verträge wurden vor dem Verkaufsvertrag vom 22. März 2010 abgeschlossen. Der Einkaufsvertrag vom 4. Juni 2010 sieht einen Lieferzeitraum zwischen Woche 24 und 29 (14. Juni bis 25. Juli) vor und enthält für die nämlichen Produkte Preise in EUR, die massiv höher sind als diejenigen in den beiden vorherigen Verträgen. Allerdings ist die vereinbarte Stückzahl auch massiv tiefer als bei den beiden anderen Verträgen.</w:t>
      </w:r>
    </w:p>
    <w:p>
      <w:r>
        <w:rPr>
          <w:b/>
        </w:rPr>
        <w:t>E. 3.3.2.3</w:t>
      </w:r>
    </w:p>
    <w:p>
      <w:r>
        <w:t>Die beiden Einkaufsverträge vom 8. und vom 15. März 2010 wurden in verschiedenen Tranchen abgewickelt, blieben jedoch zumindest teilweise unerfüllt. Es wurden sowohl Zahlungen in USD als auch in EUR geleistet, obschon vertraglich USD vereinbart worden waren. Die Zahlungen waren sodann innerhalb von zehn Tagen nach Erhalt der Ware zu leisten. Die russischen Zollbelege stehen jedoch im Widerspruch zu dieser Bestimmung.</w:t>
      </w:r>
    </w:p>
    <w:p>
      <w:r>
        <w:rPr>
          <w:b/>
        </w:rPr>
        <w:t>E. 3.3.2.4</w:t>
      </w:r>
    </w:p>
    <w:p>
      <w:r>
        <w:t>Der Einkaufsvertrag vom 4. Juni 2010 wurde in einer einzigen Tranche beglichen. Allerdings datiert die letzte Ausgangsrechnung an die Partnergesellschaft vom 2. April 2010. Entsprechendes gilt für den beigelegten russischen Zollbeleg. Ein Warenfluss zu diesem Vertrag ist demnach nicht belegt. Des Weiteren ist auch nicht ersichtlich, mit welchem Verkaufsgeschäft dieser Einkauf verbunden war.</w:t>
      </w:r>
    </w:p>
    <w:p>
      <w:r>
        <w:rPr>
          <w:b/>
        </w:rPr>
        <w:t>E. 3.3.2.5</w:t>
      </w:r>
    </w:p>
    <w:p>
      <w:r>
        <w:t>Eine weitere Zahlung an die F._______ entspricht demgegenüber der aktenkundigen Rechnung für die Laptops. Ein Weiterverkauf derselben ist jedoch nicht aktenkundig, ebensowenig wie ein Eigengebrauch. Eine zweite Zahlung in der Höhe von Fr. 19'000.-, die am 7. April 2010 an die gleiche Gesellschaft erfolgte, ist ebenfalls ohne aktenkundige vertragliche Grundlage oder Rechnung. Sie wurde demselben Konto entnommen, auf welches am 26. Februar 2010 die Stammeinlage in der Höhe von Fr. 20'000.- geleistet worden war. Es ist daher nicht zu beanstanden, wenn die Vorinstanz diesbezüglich eine Rückzahlung von Stammkapital angenommen hat.</w:t>
      </w:r>
    </w:p>
    <w:p>
      <w:r>
        <w:rPr>
          <w:b/>
        </w:rPr>
        <w:t>E. 3.3.2.6</w:t>
      </w:r>
    </w:p>
    <w:p>
      <w:r>
        <w:t>Da ferner der Minderertrag mangels ausreichender Unterlagen nicht auf einzelne Transaktionen verlegt werden konnte, ist es sachgerecht, wenn die Vorinstanz gesamthaft von einer Überfakturierung ausging.</w:t>
      </w:r>
    </w:p>
    <w:p>
      <w:r>
        <w:rPr>
          <w:b/>
        </w:rPr>
        <w:t>E. 3.3.2.7</w:t>
      </w:r>
    </w:p>
    <w:p>
      <w:r>
        <w:t>Ein Geschäftsvolumen in der vorliegenden Grössenordnung ohne entsprechende Dokumentation bzw. ohne ausreichende Prüfspur, das zudem mit den vorliegenden Widersprüchen behaftet ist, ist als ungewöhnlich zu betrachten. Die Schlussfolgerung der Vorinstanz, wonach die Beschwerdeführerin es ihren Geschäftspartnern erlaubt hat, sie wie deren eigene Gesellschaft zu benutzen (E. 2.4), ist damit nicht zu beanstanden. Bei dieser Sachlage sind die jeweiligen Nutzniesser für die Belange der Verrechnungssteuer rechtsprechungsgemäss als sog. nahestehende Personen zu betrachten (E. 2.4.2).</w:t>
      </w:r>
    </w:p>
    <w:p>
      <w:r>
        <w:rPr>
          <w:b/>
        </w:rPr>
        <w:t>E. 3.3.2.8</w:t>
      </w:r>
    </w:p>
    <w:p>
      <w:r>
        <w:t>Der der ESTV obliegenden Nachweis, dass die Leistung den Aktionären oder nahestehenden Dritten zugekommen ist (E. 2.5.4), kann damit als erbracht gelten.</w:t>
      </w:r>
    </w:p>
    <w:p>
      <w:r>
        <w:rPr>
          <w:b/>
        </w:rPr>
        <w:t>E. 3.4</w:t>
      </w:r>
    </w:p>
    <w:p>
      <w:r>
        <w:t>In einem nächsten Schritt ist sodann zu prüfen, ob es der Beschwerdeführerin gelingt, diesen Beweis nunmehr vor Bundesverwaltungsgericht durch einen Gegenbeweis zu entkräften:</w:t>
      </w:r>
    </w:p>
    <w:p>
      <w:r>
        <w:rPr>
          <w:b/>
        </w:rPr>
        <w:t>E. 3.4.1</w:t>
      </w:r>
    </w:p>
    <w:p>
      <w:r>
        <w:t>Die Beschwerdeführerin wendet sinngemäss ein, dass sie als Treuhänderin agiert habe. Die getätigten Geschäfte seien daher nicht ihr zuzurechnen. Sie legt hierzu erstmals vor Bundesverwaltungsgericht ein als "Kommissionsvereinbarung" bezeichneten Vertrag vom 2. Mai 2008 ins Recht. Während die Beschwerdeführerin im Einspracheverfahren noch argumentiert hatte, dass sie als Treuhänderin der russischen Partnergesellschaft gehandelt habe, will sie mit dem nunmehr ins Recht gelegten "Kommissionsvereinbarung" ein Treuhandverhältnis zwischen ihr und dem Hauptgesellschafter nachweisen. In der "Kommissionsvereinbarung" vom 2. Mai 2008 wird der Hauptgesellschafter als "Auftraggeberin" und die Beschwerdeführerin als "Agent" bezeichnet. In Ziff. 2 des Vertrages werden die Pflichten des Agenten aufgelistet. Dazu zählen die Kontoeröffnung bei einer Schweizer Bank (Ziff. 2.1.a), Compliance Aufgaben gemäss den gesetzlichen Anforderungen (Ziff. 2.1.b) und die Weiterleitung der erhaltenen Vorauszahlungen innert 1 - 2 Werktagen an die vom Auftraggeber bestimmten Lieferanten bzw. Vertragsparteien. Der Agent verpflichtet sich sodann, die Einkaufs- und Verkaufsverträge unterschriftsreif und gemäss den schweizerischen gesetzlichen Anforderungen zu erstellen (Ziff. 2.2.a), allfällige Mängelrügen und anderweitige Reklamationen von Kunden im Vertragsgebiet entgegenzunehmen und unverzüglich an die Auftraggeberin weiterzuleiten. In Ziff. 4.1 wird festgehalten, die Vollmacht des Agenten beschränke sich auf die Vermittlung und Vorbereitung von Rechtsgeschäften sowie auf die Entgegennahme von Mängelrügen und anderen Reklamationen für die Auftraggeberin. Gemäss Ziff. 4.2 ist aber der Agent nicht bevollmächtigt, ohne Zustimmung der Auftraggeberin Rechtsgeschäfte eigenständig zu tätigen, Zahlungen entgegenzunehmen oder Vereinbarungen über Zahlungsmodalitäten bzw. Vertragsänderungen abzuschliessen. Gemäss Ziff. 5.1 hat der Agent Anspruch auf eine Provision von (...)% auf den von ihm getätigten Einkäufen (Einkaufsverträge) und getätigten Verkäufe (Verkaufsverträge). Damit liess die vertragliche Vereinbarung sowohl die Vermittlung von Geschäften (Ziff. 4.1) als auch den Abschluss eigener Geschäfte zu (Ziff. 4.2). In der Folge unterzeichnete der Hauptanteilseigner sowohl den Verkaufsvertrag zwischen der Beschwerdeführerin und ihrer Partnergesellschaft als auch die Einkaufsverträge mit den jeweiligen Einkaufsgesellschaften. Er zeichnete hierbei stets im Namen der Beschwerdeführerin, welche auch jeweils als Vertragspartei aufgeführt worden war. Damit sind die Geschäfte der Beschwerdeführerin im Sinne von Art. 4.2 der "Kommionsvereinbarung" getätigt worden. Diese Bestimmung lässt aber eigenständige Geschäfte ausdrücklich zu. Im Lichte der gesamten Umstände ist es nicht zu beanstanden, wenn die Vorinstanz von Eigengeschäften ausgeht. Für diese Interpretation spricht auch die buchhalterische Behandlung durch die Beschwerdeführerin, hat sie doch sämtliche Einkäufe und Verkäufe ertragswirksam verbucht. Entsprechende Guthaben oder Schulden, die auf eine Weiterleitung schliessen lassen würden, sind nicht ersichtlich. Somit ist auch nach Vorlage der "Kommissionsvereinbarung" vom 2. Mai 2008 für die vorliegenden Transaktionen von Eigengeschäften auszugehen. Die Beschwerdeführerin vermag hierzu auch aus dem Einwand, wonach sie unzureichend eigenkapitalisiert ist, nichts zu ihren Gunsten abzuleiten.</w:t>
      </w:r>
    </w:p>
    <w:p>
      <w:r>
        <w:rPr>
          <w:b/>
        </w:rPr>
        <w:t>E. 3.5</w:t>
      </w:r>
    </w:p>
    <w:p>
      <w:r>
        <w:t>Die Beschwerdeführerin beantragt, die Verrechnungssteuer eventualiter auf Fr. 42'306.10 entsprechend einer Kommission von (...)% des Umsatzes. Auch der Eventualantrag der Beschwerdeführerin ist abzuweisen, da das von der Beschwerdeführerin geltend gemachte Treuhandverhältnis zwischen ihr und ihrem Hauptgesellschafter verrechnungssteuerlich nicht anzuerkennen ist.</w:t>
      </w:r>
    </w:p>
    <w:p>
      <w:r>
        <w:rPr>
          <w:b/>
        </w:rPr>
        <w:t>E. 3.6</w:t>
      </w:r>
    </w:p>
    <w:p>
      <w:r>
        <w:t>Zusammenfassend ergibt sich, dass die Beschwerde vollumfänglich abzuweisen ist.</w:t>
      </w:r>
    </w:p>
    <w:p>
      <w:r>
        <w:rPr>
          <w:b/>
        </w:rPr>
        <w:t>E. 4</w:t>
      </w:r>
    </w:p>
    <w:p>
      <w:r>
        <w:t>Ausgangsgemäss hat die unterliegende Beschwerdeführerin die Verfah-renskosten zu tragen (Art. 63 Abs. 1 VwVG). Diese sind auf Fr. 12'000.-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