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A-119/2011 vom 18. Juli 2011</w:t>
      </w:r>
    </w:p>
    <w:p>
      <w:r>
        <w:t>Bundesverwaltungsgericht, 2011-07-18, DE</w:t>
      </w:r>
    </w:p>
    <w:p>
      <w:r>
        <w:rPr>
          <w:b/>
        </w:rPr>
        <w:t xml:space="preserve">Quelle: </w:t>
      </w:r>
      <w:r>
        <w:t>https://mcp.opencaselaw.ch/entscheid/bvger_A-119_2011</w:t>
      </w:r>
    </w:p>
    <w:p>
      <w:r>
        <w:t>FR: TAF A-119/2011 du 18 juillet 2011</w:t>
      </w:r>
    </w:p>
    <w:p>
      <w:r>
        <w:t>IT: TAF A-119/2011 del 18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7. Januar 2011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hat als beteiligte Partei am vorinstanzlichen Verfahren teilgenommen und ist als Übertragungsnetzeigentümerin von der Verfügung besonders betroffen. Sie ist damit zur Beschwerde legitimiert.</w:t>
      </w:r>
    </w:p>
    <w:p>
      <w:r>
        <w:rPr>
          <w:b/>
        </w:rPr>
        <w:t>E. 3</w:t>
      </w:r>
    </w:p>
    <w:p>
      <w:r>
        <w:t>Auf die im Übrigen form- und fristgerecht eingereichte Beschwerde (Art. 50 und 52 VwVG) ist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5</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6</w:t>
      </w:r>
    </w:p>
    <w:p>
      <w:r>
        <w:t>In Auslegung dieser Bestimmungen hat die Vorinstanz entschieden, dass Stichleitungen nicht zum Übertragungsnetz gehören, da sie mit dem Übertragungsnetz nicht vermascht, sondern nur mit einem Anschlusspunkt des vermaschten Übertragungsnetzes verbunden sind. Sie definiert Stichleitungen als Leitungen auf der Spannungsebene 380/220 kV, die nur mit einem Anschlusspunkt des vermaschten Übertragungsnetzes verbunden sind, also Leitungen von einem Kraftwerk zu einem Anschlusspunkt an das Übertragungsnetz (Kraftwerks-Stichleitung) oder vom Übertragungsnetz zu einem Verbraucher respektive zu einem Verteilnetz (Versorgungs-Stichleitung). Im Gegensatz zu den T Anschlüssen sind Stichleitungen über eine Schaltanlage oder über ein Schaltfeld mit dem Übertragungsnetz verbunden, und somit auch von diesem abtrennbar. Weiter würden nach der Definition der Vorinstanz Stichleitungen primär dem Abtransport der lokal produzierten Elektrizität oder der lokalen Versorgung dienen. Stichleitungen werden nicht zur Übertragung von Elektrizität über grössere Distanzen geplant und gebaut, müssten nicht für mögliche Transitflüsse dimensioniert werden und seien somit vielmehr als Anschluss denn als Teil des vermaschten Verbundnetzes zu betrachten. Bei doppelt geführten Stichleitungen seien je nach Schaltzustand der Sammelschienen zwar theoretisch Transitflüsse denkbar. Stichleitungen würden aber nicht zu diesem Zweck gebaut. Sie seien über eine Schaltanlage oder über ein Schaltfeld mit dem Übertragungsnetz verbunden und somit auch von diesem abtrennbar. Sie seien für den sicheren Betrieb des Übertragungsnetzes nicht zwingend notwendig. Dabei sei nicht relevant, ob eine solche Leitung auf der Spannungsebene 220 kV oder 380 kV betrieben werde.</w:t>
      </w:r>
    </w:p>
    <w:p>
      <w:r>
        <w:rPr>
          <w:b/>
        </w:rPr>
        <w:t>E. 7</w:t>
      </w:r>
    </w:p>
    <w:p>
      <w:r>
        <w:t>Streitig und zu prüfen ist somit, ob die Vorinstanz Art. 4 Abs. 1 lit. h StromVG und Art. 2 Abs. 2 lit. c StromVV richtig ausgelegt hat.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2008, Rn. 80 ff.).</w:t>
      </w:r>
    </w:p>
    <w:p>
      <w:r>
        <w:rPr>
          <w:b/>
        </w:rPr>
        <w:t>E. 7.1</w:t>
      </w:r>
    </w:p>
    <w:p>
      <w:r>
        <w:t>Art. 4 Abs. 1 lit. h StromVG definiert das Übertragungsnetz als Elektrizitätsnetz, das der Übertragung von Elektrizität über grössere Distanzen im Inland sowie dem Verbund mit den ausländischen Netzen dient und in der Regel auf der Spannungsebene 220/380 kV betrieben wird. Aus dem Gesetzeswortlaut von Art. 4 Abs. 1 lit. h StromVG ergibt sich, dass nach dem Willen des Gesetzgebers das Übertragungsnetz in der Regel auf der Spannungsebene 220/380 kV betrieben wird. Der Wortlaut des Gesetzes lässt mithin aufgrund der grammatikalischen Stellung des "in der Regel" in der Definition - wie die Beschwerdeführerin zu Recht vorbringt - einzig Ausnahmen in Bezug auf die Spannungsebene 220/380 kV zu und nicht etwa auch in Bezug auf das Kriterium der Übertragung von Elektrizität über grössere Distanzen im Inland sowie dem Verbund mit den ausländischen Netzen. Dass einzig eine Ausnahme in Bezug auf die Spannungsebene 220/380 kV möglich ist, ergibt sich noch deutlicher aus den französisch- und italienischsprachigen Gesetzestexten, in denen der 2. Teilsatz in Bezug auf die Spannungsebene mit einem Semikolon abgetrennt wird: "par réseau de transport on entend le réseau électrique qui sert au transport d'électricité sur de grandes distances à l'intérieur du pays ainsi qu'à l'interconnexion avec les réseaux étrangers; il est généralement exploité à 220/380 kV" und "per rete di trasporto s'intendono rete elettrica per il trasporto di energia elettrica su lunghe distanze all'interno del Paese e per l'interconnessione con le reti estere; di regola funziona al livello di tensione 220/380 kV"). Hätte der Gesetzgeber eine Ausnahmeformulierung auch in Bezug auf die anderen zwei Kriterien der Definition gewollt, hätte er "in der Regel" der Definition vorangestellt ("In der Regel gilt als Übertragungsnetz ... "). Aufgrund dieses klaren Wortlauts kommt der Vorinstanz diesbezüglich auch kein technisches Ermessen zu. Wenn die Vorinstanz in der angefochtenen Verfügung festhält, dass Stichleitungen nicht zum Übertragungsnetz gehören, da sie nicht mit dem Übertragungsnetz vermascht, sondern nur mit einem Anschlusspunkt des vermaschten Übertragungsnetzes verbunden sind, kann jedenfalls aus dem Wortlaut von Art. 4 Abs. 1 lit. h StromVG das Kriterium der Vermaschung nicht abgeleitet werden. Nach Art. 4 Abs. 2 StromVG kann zwar der Bundesrat die Begriffe nach Absatz 1 (...) näher ausführen und veränderten technischen Voraussetzungen anpassen. Das Kriterium der Vermaschung hätte demnach mindestens in der StromVV geregelt werden müssen. Es findet sich jedoch auch nicht in Art. 2 Abs. 2 StromVV, welcher das Übertragungsnetz näher definiert. In der angefochtenen Verfügung wird zu Recht darlegt, dass nach dem Wortlaut der Legaldefinition für die Abgrenzungsfrage primär eine spannungsbasierte Betrachtung (220/380 kV) zur Anwendung gelangen soll. Dem primär spannungsbasierten Ansatz widerspricht die Ausklammerung einer ganzen Kategorie von Leitungen. Mit der Begründung, dass Stichleitungen primär dem Abtransport der lokal produzierten Elektrizität oder der lokalen Versorgung dienen, obwohl sie auf der Spannungsebene 380/220 kV betrieben werden, stellt die Vorinstanz gerade auf ein funktionales Kriterium ab. Nach dem Wortlaut von Art. 4 Abs. 1 lit. h StromVG gehören Stichleitungen (mit oder ohne Versorgungscharakter) somit zum Übertragungsnetz. Diesen an sich klaren Wortlaut bestätigen auch die weiteren Auslegungsmethoden.</w:t>
      </w:r>
    </w:p>
    <w:p>
      <w:r>
        <w:rPr>
          <w:b/>
        </w:rPr>
        <w:t>E. 7.2</w:t>
      </w:r>
    </w:p>
    <w:p>
      <w:r>
        <w:t>Die Legaldefinition des Übertragungsnetzes von Art. 4 Abs. 1 Bst. h StromVG findet sich im 1. Kapitel: Allgemeine Bestimmungen unter Art. 4 Begriffe. Neben dem Begriff des Übertragungsnetzes hat der Gesetzgeber den Begriff des Elektrizitätsnetzes (lit. a) und des Verteilnetzes (Bst. i) definiert. Neben dem Übertragungsnetz und dem Verteilnetz hat der Gesetzgeber keine weiteren Kategorien vorgesehen. Daraus folgt, dass Stichleitungen, die weder im StromVG noch in der StromVV definiert werden, entweder zum Übertragungs- oder zum Verteilnetz gehören müssen. Wie die Vorinstanz in der angefochtenen Verfügung als Fachbehörde zu Recht festhält, können die zwei Begriffe Übertragung und Verteilung nicht in jedem Fall trennscharf abgegrenzt werden. Es ist damit nicht ausgeschlossen, dass ein Übertragungsnetz Versorgungsaufgaben oder umgekehrt ein Verteilnetz Übertragungsaufgaben wahrnimmt: Die französische Fassung übersetzt den Begriff Übertragungsnetz mit "réseau de transport", die italienische Fassung spricht von "rete di trasporto". Das Übertragungsnetz kann damit auch als "Transportnetz" betrachtet werden. Es ist dabei davon auszugehen, dass mit Übertragung auch der Transport von Elektrizität, und zwar von (grossen) Produktionsanlagen über grössere Distanzen zu den Verteilnetzbetreibern und den am Übertragungsnetz direkt angeschlossenen Endverbrauchern gemeint ist. Auch ein Verteilnetz transportiert Elektrizität. Bei der Verteilung steht hingegen die Versorgung von Elektrizitätsversorgungsunternehmen und Endverbrauchern mit Elektrizität über kleinere Distanzen im Vordergrund. Aus der Gesetzessystematik ergibt sich, dass der Begriff der Stichleitungen nicht definiert ist und die Stichleitungen entweder zum Übertragungs- oder zum Verteilnetz gehören müssen. Aufgrund des Ausgeführten kann das Kriterium der Versorgung jedenfalls nicht als Abgrenzungskriterium dienen. Ebensowenig ergibt sich das Abgrenzungskriterium der Vermaschung mit dem Übertragungsnetz aus der systematischen Auslegung von Art. 4 Bst. h und i StromVG. Auch die Gesetzessystematik legt demnach nahe, dass Stichleitungen zum Übertragungsnetz gehören.</w:t>
      </w:r>
    </w:p>
    <w:p>
      <w:r>
        <w:rPr>
          <w:b/>
        </w:rPr>
        <w:t>E. 7.3</w:t>
      </w:r>
    </w:p>
    <w:p>
      <w:r>
        <w:t>Die historische Auslegung stellt auf den Sinn und Zweck ab, den man einer Norm zur Zeit ihrer Entstehung gab. Insbesondere bei jungen Erlassen muss dem Willen des Gesetzgebers ein grosses Gewicht beigemessen werden (BGE 133 III 278 E. 3.2.2; 132 V 215 E. 4.5.2 und BGE 131 II 710 E. 4.1; Urteil des Bundesverwaltungsgerichts A 2606/2009 vom 11. November 2010 E. 9.4). Bereits die Vorlage zum Elektrizitätsmarktgesetz vom 15. Dezember 2000 (EMG; BBl 2000, S. 6189 ff.) definierte das Übertragungsnetz als Elektrizitätsnetz hoher Spannung zur Übertragung von Elektrizität über grössere Distanzen. Der Entwurf der Elektrizitätsmarktverordnung vom 27. März 2002 (abrufbar unter www.bfe.admin.ch) führte in Art. 14 Abs. 1 weiter aus, dass die Schweizerische Netzgesellschaft das Übertragungsnetz der Spannungsebene 220/380 kV betreibt. Soweit Netze oder Netzteile unterer Spannungsebenen ausschliesslich der Übertragung von Elektrizität über grössere Distanzen dienen, gelten auch solche Netze als Teil des Übertragungsnetzes. In der Botschaft zum EMG (BBl 1999 7434 f.) sind auch die Spannungsebenen 220 und 380 kV explizit erwähnt. Zudem geht aus der Botschaft zum EMG hervor, dass die Bezeichnung des Übertragungsnetzes nicht nur auf Grund der Spannungsebene (in der Regel 380/220 kV), sondern auch nach dessen Funktion (Übertragung von Strom über grosse Distanzen) erfolgen soll. Damit sollte jedoch die Option offen gelassen werden, dass auch Netze der unteren Spannungsebenen in die Netzgesellschaft eingebracht werden können.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Wie die Vorinstanz in der angefochtenen Verfügung zu Recht festhält, hat hingegen die Formulierung der Legaldefinition ("in der Regel auf der Spannungsebene 220/380 kV") im Parlament zu keinen Diskussionen geführt. Auch die Botschaft zum StromVG erwähnt die zentrale Bedeutung des Übertragungsnetzes für die Schweiz. Sie versprach sich mit der Zusammenführung des Betriebs des gesamtschweizerischen Übertragungsnetzes eine Erhöhung der Transparenz (BBl 2004 1633 f.). Im Weiteren ging der Bundesrat davon aus, dass das Übertragungsnetz auf den Spannungsebenen (der Begriff wird an dieser Stelle noch in der Mehrzahl verwendet) 220 - 380 kV sowie das Verteilnetz auf den Spannungsebenen 400 V - 160 kV betrieben werden soll (BBl 2004 1642). Das von der Vorinstanz in der angefochtenen Verfügung eingeführte Kriterium der Vermaschung ist weder in der Botschaft zum EMG, zum StromVG, noch in den parlamentarischen Debatten zum StromVG erwähnt. Ebenso wenig hat sich der historische Gesetzgeber zur Frage geäussert, ob Stichleitungen zum Übertragungsnetz gehören sollen. Dazu kommt, dass parallel zu den Gesetzgebungsarbeiten der Sachplan Übertragungsleitungen (SÜL) (Aufnahme der strategischen Übertragungsleitungsnetze 50 Hz der allgemeinen Stromversorgung und 16,7 Hz der Bahnstromversorgung in den Sachplan, Sachplan Übertragungsleitungen - 12.04.2001, Anpassung 2008, 13. Februar 2009, Bundesamt für Energie BFE) (nachfolgend: SÜL), das Netznutzungsmodell für das schweizerische Übertragungsnetz (VSE/AES NNMÜ-CH Ausgabe 2005, Revision 2007; MERKUR Access Branchenempfehlung Strommarkt Schweiz) (nachfolgend: NNMÜ-CH) sowie der Rahmenvertrag über die Übertragung der Betriebsverantwortung für das Schweizer Übertragungsnetz an die Beschwerdegegnerin ausgearbeitet wurden. Sowohl der SÜL als auch das NNMÜ-CH haben die Stichleitungen dem Übertragungsnetz zugeordnet (vgl. E. 7.4), was ebenfalls nicht zu Diskussionen Anlass gab. Es ist somit davon auszugehen, dass der historische Gesetzgeber grundsätzlich das Eigentum am gesamten 220/380 kV Netz auf die Beschwerdegegnerin überführen wollte.</w:t>
      </w:r>
    </w:p>
    <w:p>
      <w:r>
        <w:rPr>
          <w:b/>
        </w:rPr>
        <w:t>E. 7.4</w:t>
      </w:r>
    </w:p>
    <w:p>
      <w:r>
        <w:t>Im Rahmen der teleologischen Auslegung sind Sinn und Zweck und die dem Begriff des Übertragungsnetzes (Art. 4 Bst. h StromVG) zu Grunde liegende Wertung zu ermitteln. Zunächst ist auf den Zweck des StromVG näher einzugehen: Nach Art. 1 StromVG bezweckt dieses Gesetz, die Voraussetzungen für eine sichere Elektrizitätsversorgung sowie für einen wettbewerbsorientierten Elektrizitätsmarkt zu schaffen. Es soll ausserdem die Rahmenbedingungen festlegen für eine zuverlässige und nachhaltige Versorgung mit Elektrizität in allen Landesteilen und die Erhaltung und Stärkung der internationalen Wettbewerbsfähigkeit der schweizerischen Elektrizitätswirtschaft. Ziel des StromVG ist somit,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Den Zielen der Versorgungssicherheit, einer starken, unabhängigen nationalen Netzgesellschaft (vgl. E. 7.3) und der Erhöhung der Effizienz beim Netzbetrieb durch den Wegfall von Schnittstellen und komplizierten Vertragswerken kamen in der parlamentarischen Debatten ein grosses Gewicht zu (vgl. u.a. Votum von Ständerat Rolf Schweiger, Amtliches Bulletin 2006 [Ständerat], S. 848 ff.; Votum Inderkum, S. 825 ff.; Votum Bundesrat Leuenberger, S. 852). Aus der Botschaft des Bundesrates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1858; vgl. auch Weber/Kratz, a.a.O., S. 73). Daraus kann geschlossen werden, dass es somit auch Bestandteil der ratio legis ist, dass ein paralleler Betrieb von Höchstspannungsleitungen durch mehrere Unternehmen zu verhindern ist, weil dies eine unnötige Duplizierung von Leit- und Verwaltungssystemen und eine Erschwerung der operativen Betriebsführung zur Folge hätte. Auf diesem Hintergrund hat auch die Definition und Abgrenzung des Übertragungsnetzes zu erfolgen: Diese gesetzgeberische Absicht zur Erreichung der dargelegten Ziele des StromVG spricht daher für eine weite Auslegung des Begriffs des Übertragungsnetzes. Für eine weite Auslegung des Begriffs des Übertragungsnetzes und der Zugehörigkeit der Stichleitungen zum Übertragungsnetz spricht ebenfalls das bisherige Branchenverständnis: Die Übertragungsnetzeigentümer haben sich in der Vergangenheit darauf geeinigt, was zum Übertragungsnetz gehört. So hat die Beschwerdegegnerin mit den sogenannten Verbundunternehmen im Jahr 2006 einen Rahmenvertrag über die Übertragung der Betriebsverantwortung für das Schweizer Übertragungsnetz an die Beschwerdegegnerin, einschliesslich der von ihr im Rahmen dieser Verantwortung zu übernehmenden Aufgaben, Pflichten und Kompetenzen, abgeschlossen. Dieser Rahmenvertrag sieht in Beilage 1 vor, dass das Übertragungsnetz "sämtliche Netzelemente für den Transport von Elektrizität in der Schweiz und zum Ausland, welche beidseitig mit einer Spannung von 380/220 kV (ausnahmsweise auch Netzelementen tieferer Spannungsebenen) betrieben werden." Wie die Vorinstanz in der angefochtenen Verfügung zu Recht festhält, basiert die Abgrenzung des Übertragungsnetzes nach diesem Rahmenvertrag auf einem spannungsbasierten Ansatz ohne funktionale Kriterien. Auch das NNMÜ-CH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Netzteile, die mit einer Spannung &lt; 220 kV betrieben werden, können nach NNMÜ-CH ausnahmsweise unter gewissen Bedingungen ins Übertragungsnetz aufgenommen werden. Das NNMÜ-CH geht somit im Grundsatz davon aus, dass 380/220 kV-Leitungen zum Übertragungsnetz gehören, unter gewissen Voraussetzungen aber auch Ausnahmen betreffend eine Spannung von weniger als 220 kV zulässt, was vorliegend jedoch für die Kategorie der Stichleitungen nicht zutrifft. In diesen beiden Branchendokumenten finden sich keine zusätzlichen funktionalen Kriterien wie Versorgungscharakter oder Vermaschung, welche einzuhalten sind, damit eine 220/380 kV Leitung als Teil des Übertragungsnetzes zu gelten hat. Somit gehören nach dem Branchenverständnis Stichleitungen zum Übertragungsnetz. Schliesslich sind die streitgegenständlichen Leitungen auch im SÜL enthalten. Gemäss diesem Sachplan sind die Leitungen "Serra-Gondo" Teil des strategischen 220/380 kV-Übertragungsleitungsnetzes. Die Stichleitungen wurden vom Bundesrat vorbehaltlos in den SÜL aufgenommen. Auch hier war weder vom Erfordernis der Vermaschung noch vom Ausschlusskriterium der Versorgung die Rede. Aufgrund des Dargelegten ergibt sich somit auch aus der teleologischen Auslegung, dass Stichleitungen zum Übertragungsnetz gehören und auf die Beschwerdegegnerin zu übertragen sind.</w:t>
      </w:r>
    </w:p>
    <w:p>
      <w:r>
        <w:rPr>
          <w:b/>
        </w:rPr>
        <w:t>E. 8</w:t>
      </w:r>
    </w:p>
    <w:p>
      <w:r>
        <w:t>Zusammenfassend kann festgehalten werden, dass Stichleitungen (mit oder ohne Versorgungscharakter), die auf der Spannungsebene 220/380 kV betrieben werden, zum Übertragungsnetz gehören. Vorliegend ist unbestritten, dass die streitgegenständliche Leitung Serra-Gondo eine Stichleitung ist, womit sie zum Übertragungsnetz gehört und ins Eigentum der Beschwerdegegnerin zu überführen ist. Die Beschwerde ist damit gutzuheissen und Ziffer 10 des Dispositivs der Verfügung vom 11. November 2010 ist in diesem Sinn aufzuheben. Damit erübrigt es sich, die weiteren Vorbringen der Beschwerdeführerin zu prüfen.</w:t>
      </w:r>
    </w:p>
    <w:p>
      <w:r>
        <w:rPr>
          <w:b/>
        </w:rPr>
        <w:t>E. 9</w:t>
      </w:r>
    </w:p>
    <w:p>
      <w:r>
        <w:t>Bei diesem Ausgang des Verfahrens gilt die Beschwerdegegnerin als unterliegend, weshalb ihr die Verfahrenskosten aufzuerlegen sind (Art. 63 Abs. 1 VwVG und Art. 1 ff. des Reglements vom 21. Februar 2008 über die Kosten und Entschädigungen vor dem Bundesverwaltungsgericht [VGKE, SR 173.320.2]). Diese sind auf Fr. 6'000.- festzusetzen. Der Beschwerdeführerin wird der geleistete Kostenvorschuss in der Höhe von Fr. 6'000.- nach Eintritt der Rechtskraft dieses Urteils zurückerstattet. Hierzu hat sie dem Bundesverwaltungsgericht einen Einzahlungsschein zuzustellen oder ihre Kontonummer bekannt zu geben.</w:t>
      </w:r>
    </w:p>
    <w:p>
      <w:r>
        <w:rPr>
          <w:b/>
        </w:rPr>
        <w:t>E. 10</w:t>
      </w:r>
    </w:p>
    <w:p>
      <w:r>
        <w:t>Der nicht vertretenen, obsiegenden Beschwerdeführerin ist keine Parteientschädigung zuzusprechen, da ihr lediglich verhältnismässig geringe Kosten durch die Beschwerdeführung erwachsen sind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