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A-1153/2015 vom 17. September 2015</w:t>
      </w:r>
    </w:p>
    <w:p>
      <w:r>
        <w:t>Bundesverwaltungsgericht, 2015-09-17, FR</w:t>
      </w:r>
    </w:p>
    <w:p>
      <w:r>
        <w:rPr>
          <w:b/>
        </w:rPr>
        <w:t xml:space="preserve">Quelle: </w:t>
      </w:r>
      <w:r>
        <w:t>https://mcp.opencaselaw.ch/entscheid/bvger_A-1153_2015</w:t>
      </w:r>
    </w:p>
    <w:p>
      <w:r>
        <w:t>FR: TAF A-1153/2015 du 17 septembre 2015</w:t>
      </w:r>
    </w:p>
    <w:p>
      <w:r>
        <w:t>IT: TAF A-1153/2015 del 17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98 francs du dédommagement forfaitaire mensuel de son logement de service, le recourant est particulièrement atteint et a un intérêt digne de protection à requérir son annulation ou sa modification (art. 48 al. 1 PA). Il a donc qualité pour recourir.</w:t>
      </w:r>
    </w:p>
    <w:p>
      <w:r>
        <w:rPr>
          <w:b/>
        </w:rPr>
        <w:t>E. 1.4</w:t>
      </w:r>
    </w:p>
    <w:p>
      <w:r>
        <w:t>Présenté su surplus dans le délai (art. 50 al. 1 PA) et les formes (art. 52 al. 1 PA) prescrits par la loi, le recours est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présent recours porte sur la validité en droit de l'augmentation du dédommagement du logement de service imposée au recourant.</w:t>
      </w:r>
    </w:p>
    <w:p>
      <w:r>
        <w:rPr>
          <w:b/>
        </w:rPr>
        <w:t>E. 3.1</w:t>
      </w:r>
    </w:p>
    <w:p>
      <w:r>
        <w:t>Selon la loi et une jurisprudence bien établie, les conclusions sont scellées aux termes du mémoire de recours (cf. art. 52 al. 1 1ère phr. PA ; arrêt du Tribunal administratif fédéral A-865/2007 du 17 février 2010 consid. 4.1.1 non publié in : ATAF 2011/56), lequel doit être déposé dans les 30 jours suivant la notification de la décision attaquée (art. 50 al. 1 PA). Il s'ensuit que les différentes écritures subséquentes ne peuvent contenir qu'une argumentation de fait et de droit complémentaire, destinée à répondre aux arguments nouveaux développés par les autres participants à la procédure, dans le cadre de l'objet du litige défini par les conclusions déposées dans le mémoire de recours ; elles ne sauraient être utilisées aux fins de présenter de nouvelles conclusions ou de nouveaux griefs qui auraient déjà pu figurer dans l'acte de recours (ATF 135 I 19 consid. 2.2 ; ATAF 2010/53 consid. 15.1 ; arrêt du Tribunal administratif fédéral A-5411/2012 du 5 mai 2015 consid. 1.5.1 et réf. cit.). En revanche, si les conclusions ne peuvent être étendues après l'échéance du délai de recours, elles peuvent être précisées, réduites ou abandonnées (cf. arrêts du Tribunal administratif fédéral A 8435/2007 du 4 août 2008 consid. 3.1, A 1985/2006 du 14 février 2008 consid. 4; André Moser, in: Auer/Müller/Schindler (éd.), VwVG, Kommentar zum Bundesgesetz über das Verwaltungsverfahren, 2008, n° 6 p. 690 s.). L'objet du litige peut ainsi se réduire pour tenir compte de points qui ne sont plus contestés, mais non s'étendre (cf. ATAF 2014/24 consid. 1.4.1, arrêts du Tribunal administratif fédéral A-862/2007 du 17 février 2010 consid. 4.1.1, A-1536/2006 du 16 juin 2008 consid. 1.4.1 et les réf. cit.).</w:t>
      </w:r>
    </w:p>
    <w:p>
      <w:r>
        <w:rPr>
          <w:b/>
        </w:rPr>
        <w:t>E. 3.2</w:t>
      </w:r>
    </w:p>
    <w:p>
      <w:r>
        <w:t>En l'occurrence, le recourant n'avait pas saisi, au moment de son recours, que son logement de service faisait l'objet d'un dédommagement mensuel forfaitaire. Il a dès lors apporté une argumentation complémentaire, en droit, dans sa réplique. Cette argumentation est en outre demeurée dans le cadre de l'objet du litige défini par ses conclusions initiales. Elle est donc recevable à ce titre.</w:t>
      </w:r>
    </w:p>
    <w:p>
      <w:r>
        <w:rPr>
          <w:b/>
        </w:rPr>
        <w:t>E. 4</w:t>
      </w:r>
    </w:p>
    <w:p>
      <w:r>
        <w:t>Il convient de commencer par déterminer si la contestation entre les parties relève bien du droit public.</w:t>
      </w:r>
    </w:p>
    <w:p>
      <w:r>
        <w:rPr>
          <w:b/>
        </w:rPr>
        <w:t>E. 4.1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4.2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4.3</w:t>
      </w:r>
    </w:p>
    <w:p>
      <w:r>
        <w:t>Dans le cas présent, le recourant a librement choisi de se domicilier à (...), dans le canton (...), et il ne fait l'objet d'aucune restriction à cet égard. En raison de l'éloignement géographique entre son domicile et le poste de douane auquel il est affecté, le Commandement des gardes-frontière lui a attribué un logement de service, afin qu'il puisse remplir au mieux ses obligations professionnelles, vu les contraintes liées à sa fonction (services de piquet, tâches de surveillance, etc ; voir ég. Feuille fédérale [FF] 1999 I 1443). L'utilisation du logement n° (...) est ainsi dans un rapport étroit, direct et fonctionnel avec le service.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La circonstance qu'il n'ait pas été contraint de déplacer son domicile (art. 21 al. 1 let. a LPers) ne change par ailleurs rien à la nature (publique) du rapport qui s'est noué à cette occasion. En vertu du principe de la primauté du droit public sur le droit privé, la seule voie de droit fédéral qui peut entrer en considération est donc celle ouverte par le droit public, ce dont il suit la compétence de l'autorité inférieure pour statuer sur l'augmentation du dédommagement logement de service du recourant par voie décisionnelle.</w:t>
      </w:r>
    </w:p>
    <w:p>
      <w:r>
        <w:rPr>
          <w:b/>
        </w:rPr>
        <w:t>E. 5.1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5.2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5.3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(art. 59 al. 1 O-OPers).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centre communautaire, l'indemnité est fixée à 330 francs par chambre (pour les zones 1 à 7, définies à l'art. 11 al. 2 O OPers ; cf. ch. 3.4 des instructions du 1er septembre 2014 précitées).</w:t>
      </w:r>
    </w:p>
    <w:p>
      <w:r>
        <w:rPr>
          <w:b/>
        </w:rPr>
        <w:t>E. 6.1</w:t>
      </w:r>
    </w:p>
    <w:p>
      <w:r>
        <w:t>Le recourant expose tout d'abord qu'il n'a pas été en mesure de comprendre, avant qu'elle ne prenne sa décision, comment l'autorité inférieure a fixé le montant mensuel (forfaitaire) de 330 francs. Il y voit une violation de son droit d'être entendu. A cet égard, il estime qu'il a en particulier été mis dans une situation moins favorable que certains de ses collègues vivant dans un appartement (et non dans une chambre meublée) et qui ont reçu un projet motivé de décision. L'autorité inférieure précise, dans sa réponse, que le Commandement des gardes-frontière a procédé différemment selon que ses employés occupent un appartement ou une chambre. Du moment que les gardes-frontière célibataires habitant le centre communautaire de (...) doivent s'acquitter d'un dédommagement forfaitaire, le Commandement des gardes-frontière a en particulier estimé suffisant de les informer brièvement au moyen d'un courrier du montant de l'augmentation et de leur remettre à cette occasion une notice explicative.</w:t>
      </w:r>
    </w:p>
    <w:p>
      <w:r>
        <w:rPr>
          <w:b/>
        </w:rPr>
        <w:t>E. 6.2</w:t>
      </w:r>
    </w:p>
    <w:p>
      <w:r>
        <w:t>Conformément à l'art. 29 al. 1 Cst., toute personne a droit, dans une procédure judiciaire ou administrative, à ce que sa cause soit traitée équitablement et jugée dans un délai raisonnable. Ce principe requiert que chaque partie se voie offrir une possibilité raisonnable de présenter sa cause dans des conditions qui ne la placent pas dans une situation de net désavantage (cf. arrêt du Tribunal administratif fédéral A-5411/2012 du 5 mai 2015 consid. 7.3.1.1 et réf. cit.). Quant au droit d'être entendu, tel qu'il est consacré par l'art. 29 al. 2 Cst. et l'art. 29 PA, il garantit à toute personne le droit d'être informée et entendue avant qu'une décision ne soit prise à son détriment. Ainsi l'administré a-t-il, en particulier, le droit d'être informé de l'ouverture d'une procédure, de son déroulement, de son contenu et de s'expliquer (ATF 135 I 279 consid. 2.3, ATF 132 V 368 consid. 3.1 ; ATAF 2010/53 consid. 13.1). La jurisprudence a également déduit du droit d'être entendu l'obligation, pour l'autorité, de motiver sa décision, afin que son destinataire puisse la comprendre et l'attaquer utilement s'il y a lieu et que l'autorité de recours puisse exercer son contrôle (ATF 136 I 229 consid. 5.2, ATF 136 V 351 consid. 4.2 ; ATAF 2010/35 consid. 4.1.2).</w:t>
      </w:r>
    </w:p>
    <w:p>
      <w:r>
        <w:rPr>
          <w:b/>
        </w:rPr>
        <w:t>E. 6.3</w:t>
      </w:r>
    </w:p>
    <w:p>
      <w:r>
        <w:t>En l'occurrence, l'autorité inférieure a considéré que la situation de fait ne jouait aucun rôle, dès lors que le recourant doit s'acquitter d'un dédommagement mensuel forfaitaire. Elle a par suite informé le recourant du montant de l'augmentation prévue du dédommagement forfaitaire de son logement de service et lui a remis les informations pertinentes pour qu'il puisse en connaître les motifs. Cette manière de faire échappe à la critique. Selon la jurisprudence, les personnes concernées n'ont en effet pas à être entendues de façon spécifique sur la portée à reconnaître aux règles de droit. A titre exceptionnel, il convient de les interpeller seulement lorsque l'autorité envisage de fonder sa décision sur une norme ou une considération juridique qui n'a pas été évoquée au cours de la procédure ou dont les parties ne pouvaient pas supputer la pertinence (ATF 130 III 35 consid. 5 et réf. cit.). Or, en l'espèce, le montant de 330 francs est expressément mentionné dans les instructions édictées par l'Administration fédérale des douanes et ce document a été constamment tenu à la disposition du recourant (portail intranet). Il est d'ailleurs usuel que les différents services des ressources humaines de la Confédération donnent des informations générales aux employés au moyen d'une brochure et publient sur leur portail intranet l'ensemble des informations pertinentes. Le recourant a enfin écrit à deux reprises à l'autorité inférieure au cas d'espèce, avant le prononcé de la décision attaquée, et il n'a pas demandé à ces occasions une quelconque explication complémentaire sur les fondements juridiques de l'augmentation de son dédommagement mensuel forfaitaire. Infondé, ce grief sera dès lors rejeté.</w:t>
      </w:r>
    </w:p>
    <w:p>
      <w:r>
        <w:rPr>
          <w:b/>
        </w:rPr>
        <w:t>E. 7.1</w:t>
      </w:r>
    </w:p>
    <w:p>
      <w:r>
        <w:t>Le recourant s'oppose ensuite au caractère forfaitaire du dédommagement de son logement de service, au titre des instructions du 1er septembre 2014 de la Direction générale des douanes sur les logements de service et logements locatifs, et souhaite que l'autorité inférieure lui impute les directives du 1er août 2013 du DFF applicables à l'ensemble de la Confédération. Il tient en effet les instructions de la Direction générale des douanes pour contraire au principe de l'égalité de traitement entre membres célibataires du Cgfr et non célibataires. L'autorité inférieure s'estime liée par les instructions qu'elle a elle-même édictées et considère qu'un seul dédommagement forfaitaire est possible en l'espèce.</w:t>
      </w:r>
    </w:p>
    <w:p>
      <w:r>
        <w:rPr>
          <w:b/>
        </w:rPr>
        <w:t>E. 7.2</w:t>
      </w:r>
    </w:p>
    <w:p>
      <w:r>
        <w:t>Une norme - ou une décision -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Selon son appréciation d'un relevé de son appartement, effectué selon des normes non précisées et qu'il a produit à l'appui de son recours, le recourant estime que la surface habitable de son logement est de 26.246 m2 (si l'on y ajoute un sixième de la surface de la cuisine commune). Se fondant sur le nombre d'habitants de la commune de (...) (1'088 au 1er janvier 2013) et un prix au m2 de 110 francs, il demande à être mis au bénéfice d'un dédommagement de 240 fr. 60 (26.246 x 110 / 12).</w:t>
      </w:r>
    </w:p>
    <w:p>
      <w:r>
        <w:rPr>
          <w:b/>
        </w:rPr>
        <w:t>E. 7.3.2</w:t>
      </w:r>
    </w:p>
    <w:p>
      <w:r>
        <w:t>Au cas d'espèce, le Tribunal observe que les différents calculs du recourant pour justifier d'une inégalité de traitement entre les membres du Cgfr célibataires et non célibataires reposent sur une prémisse erronée. S'il est vrai que les Directives du Département fédéral des finances DFF du 1er août 2013, sur le dédommagement et les charges à payer pour l'utilisation d'un logement de service, prévoient que le dédommagement se calcule en multipliant la surface au sol du logement par le prix au m2, le prix au m2 retenu par le recourant (110 francs par m2) est manifestement erroné (cf. directives précitées du 1er août 2013 ch. 3.3 al. 2). Selon l'Office fédéral de la statistique, la commune de (...) est en effet comprise dans l'agglomération du « ... » (voir directives du 1er août 2013 ch. 3.3 al. 3 ; JAAC 65.81 consid. 5a). Il faut dès lors additionner le nombre d'habitants de la commune politique la plus peuplée (soit Genève, 189'033 habitants) et le nombre d'habitants de la commune de (...) ([...] habitants). Les deux tiers de cette somme sont ensuite réputés population déterminante (soit 126'747 habitants). Ainsi, selon le chiffre 3.3 des directives du DFF du 1er août 2013, le dédommagement annuel par m2 de surface au sol prise en compte s'élève à 150 fr/m2 (intervalle de 100'000 et 200'000 habitants). De plus, toujours selon cette directive, les petits appartements (1 à 2 pièces et demie, studios) font l'objet d'un supplément s'élevant jusqu'à 20 % (cf. directives précitées du 1er août 2013, ch. 3.5). Il s'ensuit que, si le Tribunal devait procéder conformément au souhait du recourant, le montant du dédommagement mensuel du logement de service qu'il occupe s'élèverait à un montant oscillant entre 328 francs (26.246 x 150 / 12) et 394 francs au plus ([26.246 x 150] x 1.2 / 12). A ce montant, il faudrait encore y ajouter les charges (non comprise dans le dédommagement forfaitaire mensuel) (cf. ch. 2.4 et 3.8 des Instructions de l'Administration fédérale des douanes du 1er septembre 2014 - Logements de service et logements locatifs).</w:t>
      </w:r>
    </w:p>
    <w:p>
      <w:r>
        <w:rPr>
          <w:b/>
        </w:rPr>
        <w:t>E. 7.4</w:t>
      </w:r>
    </w:p>
    <w:p>
      <w:r>
        <w:t>Dans ces circonstances, il ne fait aucun doute que le recourant n'est pas prétérité par la fixation d'un dédommagement forfaitaire, à 330 francs, charges comprises. Le Tribunal ne perçoit par ailleurs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Enfin, et de manière plus générale, l'Etat pouvait prévoir un mode de calcul différent pour les logements de service attribués aux agents célibataires,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w:t>
      </w:r>
    </w:p>
    <w:p>
      <w:r>
        <w:rPr>
          <w:b/>
        </w:rPr>
        <w:t>E. 8</w:t>
      </w:r>
    </w:p>
    <w:p>
      <w:r>
        <w:t>Il s'ensuit que la décision attaquée est conforme au droit et que le recours, mal fondé, doit être rejeté.</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