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A-1147/2021 vom 5. Juli 2022</w:t>
      </w:r>
    </w:p>
    <w:p>
      <w:r>
        <w:t>Bundesverwaltungsgericht, 2022-07-05, FR</w:t>
      </w:r>
    </w:p>
    <w:p>
      <w:r>
        <w:rPr>
          <w:b/>
        </w:rPr>
        <w:t xml:space="preserve">Quelle: </w:t>
      </w:r>
      <w:r>
        <w:t>https://mcp.opencaselaw.ch/entscheid/bvger_A-1147_2021</w:t>
      </w:r>
    </w:p>
    <w:p>
      <w:r>
        <w:t>FR: TAF A-1147/2021 du 5 juillet 2022</w:t>
      </w:r>
    </w:p>
    <w:p>
      <w:r>
        <w:t>IT: TAF A-1147/2021 del 5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feraient obstacle à toute transmission d'informations y relatives. Cela étant, la recourante plaide également qu'aucune des huit personnes mentionnées en qualité de beneficial owner dans le document XML produit par la banque ne pourrait être qualifiée d'ayant droit des avoirs du trust : les deux settlors seraient en effet décédés en *** et ***, d'une part, et aucune distribution systématique et/ou sur demande des avoirs du trust n'aurait été octroyée en faveur d'un bénéficiaire, d'autre part.</w:t>
      </w:r>
    </w:p>
    <w:p>
      <w:r>
        <w:rPr>
          <w:b/>
        </w:rPr>
        <w:t>E. 5.2.2</w:t>
      </w:r>
    </w:p>
    <w:p>
      <w:r>
        <w:t>Le Tribunal relève tout d'abord que les pièces produites par la recourante ne corroborent pas, ou que partiellement, ses allégations,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w:t>
      </w:r>
    </w:p>
    <w:p>
      <w:r>
        <w:rPr>
          <w:b/>
        </w:rPr>
        <w:t>E. 5.2.3</w:t>
      </w:r>
    </w:p>
    <w:p>
      <w:r>
        <w:t>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 Quant à la qualité d'ayant droit des avoirs du trust des différentes personnes mentionnées sur le fichier XML produit par la banque, elle n'a pas à être examinée ici. La recourante n'est en effet pas légitimée à faire valoir des intérêts de tiers (cf. notamment arrêt du TF 2C_1037/2019 du 27 août 2020 consid. 6.2 non publié in : ATF 147 II 116). En conséquence, le grief de la recourante est rejeté.</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(arrêts du TF 2C_609/2015 et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sa requête préalable de consultation de ces mêmes pièces, ainsi qu'à celle tendant à compléter son recours après dite consultation.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