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A-1141/2021 vom 5. Juli 2021</w:t>
      </w:r>
    </w:p>
    <w:p>
      <w:r>
        <w:t>Bundesverwaltungsgericht, 2021-07-05, FR</w:t>
      </w:r>
    </w:p>
    <w:p>
      <w:r>
        <w:rPr>
          <w:b/>
        </w:rPr>
        <w:t xml:space="preserve">Quelle: </w:t>
      </w:r>
      <w:r>
        <w:t>https://mcp.opencaselaw.ch/entscheid/bvger_A-1141_2021</w:t>
      </w:r>
    </w:p>
    <w:p>
      <w:r>
        <w:t>FR: TAF A-1141/2021 du 5 juillet 2021</w:t>
      </w:r>
    </w:p>
    <w:p>
      <w:r>
        <w:t>IT: TAF A-1141/2021 del 5 luglio 2021</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 Cela étant, la recourante se plaint également d'une violation du principe de spécialité et de l'art. 18a LAAF, à raison du décès survenu en *** de Madame B._______, settlor et ayant droit économique du compte UBS en cause. L'entrée en vigueur de la disposition précitée étant largement postérieure au dépôt de la demande d'assistance, elle ne serait pas applicable à la présente procédure. La recourante plaide ainsi que ni feue B._______, ni ses éventuels successeurs ne pourraient être partie à la procédure et donc - pourvu qu'on la comprenne bien - faire l'objet d'une demande d'assistance.</w:t>
      </w:r>
    </w:p>
    <w:p>
      <w:r>
        <w:rPr>
          <w:b/>
        </w:rPr>
        <w:t>E. 5.2.2</w:t>
      </w:r>
    </w:p>
    <w:p>
      <w:r>
        <w:t>Le Tribunal relève tout d'abord que les pièces produites par la recourante ne corroborent pas, ou que partiellement, ses allégations, les caractéristiques alléguées du trust ou l'absence de distribution,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 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w:t>
      </w:r>
    </w:p>
    <w:p>
      <w:r>
        <w:rPr>
          <w:b/>
        </w:rPr>
        <w:t>E. 5.2.3</w:t>
      </w:r>
    </w:p>
    <w:p>
      <w:r>
        <w:t>Doit encore être rappelé que la personne participant à la présente procédure est la recourante, et non pas feue B._______. L'argumentaire plaidé au bénéfice de la prénommée ne lui est dès lors d'aucun secours dans la présente procédure, la recourante n'étant pas légitimée à faire valoir des intérêts de tiers (cf. notamment arrêt du TF 2C_1037/2019 du 27 août 2020 consid. 6.2 non publié in : ATF 147 II 116). Quant au moyen tiré de la violation de l'art. 18a LAAF, il ne peut qu'être écarté, en tant qu'il découle d'une mécompréhension de cette disposition. En effet, et contrairement à ce que semble avancer la recourante, le but premier de l'art 18a LAAF, qui est d'applicabilité immédiate, est de transmettre des renseignements vraisemblablement pertinents relatifs à des personnes ne disposant pas de la capacité d'être partie, comme les personnes décédées. Certes, dans de telles hypothèses, les successeurs légaux ont qualité de partie, mais ce à condition qu'ils disposent eux-mêmes de la capacité d'être partie suivant le droit suisse. Une personne décédée reste ainsi concernée et ses informations peuvent être transmises (FF 2019 277, 201 ; arrêt du TAF A-5579/2020 du 23 août 2021 consid. 9.2 à 9.4). Aussi, le fait que le compte bancaire en cause, détenu par la recourante, ait pour ayant droit économique une personne décédée ou soit lié à un trust ne s'oppose pas, dans ce contexte, à une transmission des informations. Les griefs de la recourante sont donc rejetés.</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rPr>
          <w:b/>
        </w:rPr>
        <w:t>E. 31</w:t>
      </w:r>
    </w:p>
    <w:p>
      <w:r>
        <w:t>décembre 2015 (ch. 4) ; l’objectif fiscal fondant la demande, soit l’impôt</w:t>
      </w:r>
    </w:p>
    <w:p>
      <w:r>
        <w:t>A-1141/2021 Page 17 sur le revenu et l’impôt de solidarité sur la fortune (ch. 4), ainsi que la description des renseignements demandés (ch. 6). Dès lors, la requête du 11 mai 2016 contient tous les éléments mentionnés au ch. XI par. 3 du Protocole additionnel.</w:t>
      </w:r>
    </w:p>
    <w:p>
      <w:r>
        <w:t>De surcroît, il est relevé que dans l’ATF 146 II 150, le Tribunal fédéral a précisé que la demande du 11 mai 2016 – qui ne contient ni les noms ni les adresses de personnes concernées mais qui se fonde sur une liste d’environ 40'000 numéros de comptes et autres numéros bancaires sur la base de laquelle l’AFC a pu identifier les personnes concernées – constituait une « demande collective » (« Listenersuchen ») et non une demande groupée au sens de l’art. 3 let. c LAAF (cf. ATF 146 II 150 consid. 4 ; sur la distinction entre demande groupée et demande individuelle, voir l’arrêt du TF 2C_695/2017 du 29 octobre 2018 consid. 4 et 5). La Haute Cour a rappelé à cet égard qu’au regard de la jurisprudence, les demandes qui concernent un certain nombre de personnes qu’elles identifient par leur nom ou au moyen d’une liste comportant des numéros – tels que le numéro de carte de crédit ou de compte bancaire – doivent être considérées comme une somme de demandes individuelles. Pour des raisons d’économie de procédure, l’autorité requérante rassemble ces demandes individuelles en une demande commune ou collective, bien qu’elle ait pu en principe également les formuler individuellement (cf. ATF 146 II 150 consid. 4.4 et 143 II 628 consid. 4.4 et 5.1 ; arrêts du TF 2C_695/2017 du 29 octobre 2018 consid. 4.4 et 2C_893/2015 du 16 février 2017 consid. 12.1). 5. 5.1 5.1.1 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 5.1.2 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w:t>
      </w:r>
    </w:p>
    <w:p>
      <w:r>
        <w:t>A-1141/2021 Page 18 fins autres que fiscales ou transmis à un Etat tiers, l’AFC donne son consentement après examen. Cette autorisation est donnée par l’AFC d’entente avec l’Office fédéral de la justice lorsque les renseignements obtenus sont destinés à la transmission à des autorités pénales. 5.1.3 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t>A-1141/2021 Page 19 5.2 5.2.1 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 Cela étant, la recourante se plaint également d’une violation du principe de spécialité et de l’art. 18a LAAF, à raison du décès survenu en *** de Madame B._______, settlor et ayant droit économique du compte UBS en cause. L’entrée en vigueur de la disposition précitée étant largement postérieure au dépôt de la demande d’assistance, elle ne serait pas applicable à la présente procédure. La recourante plaide ainsi que ni feue B._______, ni ses éventuels successeurs ne pourraient être partie à la procédure et donc – pourvu qu’on la comprenne bien – faire l’objet d’une demande d’assistance. 5.2.2 Le Tribunal relève tout d’abord que les pièces produites par la recourante ne corroborent pas, ou que partiellement, ses allégations, les caractéristiques alléguées du trust ou l’absence de distribution,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w:t>
      </w:r>
    </w:p>
    <w:p>
      <w:r>
        <w:t>A-1141/2021 Page 20 vraisemblablement pertinent (cf. arrêts du TF 2C_918/2020 et 2C_936/2020, tous deux du 28 décembre 2021 [en lien avec la CDI CH-IN]), en sorte que le grief tiré des caractéristiques du trust tombe, de toutes les manières, à faux. 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 5.2.3 Doit encore être rappelé que la personne participant à la présente procédure est la recourante, et non pas feue B._______. L’argumentaire plaidé au bénéfice de la prénommée ne lui est dès lors d’aucun secours dans la présente procédure, la recourante n’étant pas légitimée à faire valoir des intérêts de tiers (cf. notamment arrêt du TF 2C_1037/2019 du 27 août 2020 consid. 6.2 non publié in : ATF 147 II 116). Quant au moyen tiré de la violation de l’art. 18a LAAF, il ne peut qu’être écarté, en tant qu’il découle d’une mécompréhension de cette disposition. En effet, et contrairement à ce que semble avancer la recourante, le but premier de l’art 18a LAAF, qui est d’applicabilité immédiate, est de transmettre des renseignements vraisemblablement pertinents relatifs à des personnes ne disposant pas de la capacité d’être partie, comme les personnes décédées. Certes, dans de telles hypothèses, les successeurs légaux ont qualité de partie, mais ce à condition qu’ils disposent eux-mêmes de la capacité d’être partie suivant le droit suisse. Une personne décédée reste ainsi concernée et ses informations peuvent être transmises (FF 2019 277, 201 ; arrêt du TAF A-5579/2020 du 23 août 2021 consid. 9.2 à 9.4). Aussi, le fait que le compte bancaire en cause, détenu par la recourante, ait pour ayant droit économique une personne décédée ou soit lié à un trust ne s’oppose pas, dans ce contexte, à une transmission des informations. Les griefs de la recourante sont donc rejetés.</w:t>
      </w:r>
    </w:p>
    <w:p>
      <w:r>
        <w:t>A-1141/2021 Page 21 5.3 5.3.1 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 5.3.2 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w:t>
      </w:r>
    </w:p>
    <w:p>
      <w:r>
        <w:t>A-1141/2021 Page 22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 5.3.3 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t>A-1141/2021 Page 23 5.4 Pour le surplus, rien n’indique – et la recourante ne le prétend pas – que les autres conditions matérielles de l’assistance administrative ne seraient pas respectées. 6. 6.1 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 6.2 Vu l'issue de la cause, il n'est pas alloué de dépens (art. 64 al. 1 PA a contrario et art. 7 al. 1 FITAF a contrario). 7. 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r>
        <w:t>(Le dispositif de l’arrêt se trouve à la page suivante.)</w:t>
      </w:r>
    </w:p>
    <w:p>
      <w:r>
        <w:t>A-1141/2021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