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A-1115/2015 vom 28. September 2015</w:t>
      </w:r>
    </w:p>
    <w:p>
      <w:r>
        <w:t>Bundesverwaltungsgericht, 2015-09-28, FR</w:t>
      </w:r>
    </w:p>
    <w:p>
      <w:r>
        <w:rPr>
          <w:b/>
        </w:rPr>
        <w:t xml:space="preserve">Quelle: </w:t>
      </w:r>
      <w:r>
        <w:t>https://mcp.opencaselaw.ch/entscheid/bvger_A-1115_2015</w:t>
      </w:r>
    </w:p>
    <w:p>
      <w:r>
        <w:t>FR: TAF A-1115/2015 du 28 septembre 2015</w:t>
      </w:r>
    </w:p>
    <w:p>
      <w:r>
        <w:t>IT: TAF A-1115/2015 del 28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122 francs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qui est domicilié dans le canton (...), afin qu'il puisse remplir au mieux ses obligations professionnelles, au vu des contraintes liées à sa fonction (services de piquet, tâches de surveillance, etc. ; voir ég. Feuille fédérale [FF] 1999 I 1443). L'utilisation du logement n°(...)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la Direction générale des douanes DGD a édicté des instructions, le 1er septembre 2014, sur les logements de service et logements locatifs. Celles-ci prévoient que, en cas d'assignation dans un centre communautaire, l'indemnité est fixée à 330 francs par chambre (pour les zones 1 à 7, définies à l'art. 11 al. 2 O OPers ; cf. ch. 3.4 des instructions du 1er septembre 2014 précitées) ou à 440 francs par chambre (pour les zones 8 à 13). Un tel centre communautaire contient une infrastructure utilisée en commun (cuisine, salle à manger, salle de séjour) et des chambres meublées avec un bloc sanitaire (WC et/ou douche et/ou lavabo).</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Elles ne devraient dès lors ni être considérées comme des règles de droit ni lier le Tribunal administratif fédéral.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4.1).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en outre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estime, ensuite, que les modalités fixées dans les directives du DFF et les instructions de la DGD pour estimer le dédommagement (forfaitaire) de son logement de fonction violent le principe de la légalité, de l'égalité de traitement et celui de la proportionnalité. Ainsi, les Instructions du 1er septembre 2014 de la DGD s'écarteraient, sans droit, du cadre fixé par l'art. 59 al.1 O-OPers, imposeraient à toutes les personnes séjournant dans l'agglomération de Genève un dédommagement forfaitaire unique, indépendamment de la situation du logement, introduiraient une inégalité de traitement dans la mesure où un garde-frontière célibataire devrait acquitter un dédommagement supérieur à celui occupant un logement familial et, enfin, violerait le principe de la proportionnalité. Pour le surplus, l'augmentation du dédommagement serait également arbitraire et abusive, car le confort de l'appartement en cause n'aurait aucunement été amélioré. L'autorité inférieure lui oppose que la méthode de calcul est objective et repose sur les directives et instructions pertinentes.</w:t>
      </w:r>
    </w:p>
    <w:p>
      <w:r>
        <w:rPr>
          <w:b/>
        </w:rPr>
        <w:t>E. 6.2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w:t>
      </w:r>
    </w:p>
    <w:p>
      <w:r>
        <w:rPr>
          <w:b/>
        </w:rPr>
        <w:t>E. 6.3.1</w:t>
      </w:r>
    </w:p>
    <w:p>
      <w:r>
        <w:t>La nouvelle estimation du logement de service du recourant repose principalement sur les instructions de la DGD du 1er septembre 2014. Celles-ci prévoient, en leur ch. 3.4, un dédommagement forfaitaire de 250 à 330 francs (appartement communautaire) et de 330 à 440 francs (centre communautaire). Ces logements sont par ailleurs meublés, équipés et disposent, généralement dans une pièce commune, d'un appareil radio/TV. Les coûts de chauffage et les charges, la production d'eau chaude, la consommation normale d'électricité et de gaz, les taxes de raccordement et d'abonnement (concessions comprises) pour un appareil radio/TV et le réseau WIFI sont inclus dans ce dédommagement (cf. ch. 3.5 ss).</w:t>
      </w:r>
    </w:p>
    <w:p>
      <w:r>
        <w:rPr>
          <w:b/>
        </w:rPr>
        <w:t>E. 6.3.2</w:t>
      </w:r>
    </w:p>
    <w:p>
      <w:r>
        <w:t>Au cas d'espèce, le recourant s'est vu attribuer une chambre meublée dans le ménage célibataire de (...) (soit en zone 13, selon l'art. 11 al. 2 O OPers). Selon les instructions du 1er septembre 2014 et les photographies produites, il s'agit d'un centre communautaire (infrastructure utilisée en commun, chambre meublée et bloc sanitaire privatif) et il doit s'acquitter d'une indemnité forfaitaire de 440 francs, charges comprises (cf. ch. 3.4). A cet égard et quoi qu'en dise le recourant, le Tribunal ne perçoit aucun élément susceptible de remettre en cause ce montant. L'indemnité forfaitaire liée à l'occupation d'un logement de fonction n'a en particulier pas le caractère d'un droit acquis,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 même, et de manière plus générale, l'Etat pouvait prévoir un mode de calcul différent pour les logements de service destinés à être attribués aux agents célibataires (soit un système forfaitaire), dans la mesure où son intention a été de les favoriser au vu de leur situation particulière. A savoir, comme l'expose l'autorité inférieure, faire en sorte de maintenir les logements pour célibataires nettement en dessous de leur valeur afin que les loyers augmentent moins en faveur des jeunes collaborateurs percevant des salaires plus bas et afin de garantir la flexibilité nécessaire aux agents concernés (cf. Bulletin d'information du Chef du Corps des gardes-frontière sur les nouvelles instructions de l'AFD concernant les logements de service du 1er septembre 2014). Si l'on se réfère au loyer moyen dans canton de Genève, en 2012, on s'aperçoit d'ailleurs d'emblée qu'il est nettement supérieur à celui fixé par l'autorité inférieure (765 francs pour une pièce, sans les charges ; cf. Annuaire statistique du canton de Genève, 2013, T 05.15 p. 126). Ainsi, alors qu'un logement (familial) de fonction représente environ 70 % du loyer d'objets comparables (cf. Directives 2013 du DFF, ch. 3.6), celui destiné à un garde-frontière célibataire représente généralement, dans l'agglomération de Genève, moins de 50 % (si l'on tient compte des charges). Le recourant ne fait en outre valoir aucun élément particulier se rapportant à la situation propre de son logement de service et permettant de retenir une exception à l'application des prescriptions en l'espèce déterminantes. En effet, lorsqu'il allègue que la surface habitable de son logement de fonction s'établirait à 13.5 m2, il perd de vue que le centre communautaire possède une infrastructure utilisée en commun (cuisine, pièce de vie, sanitaires, hall, etc.) et que, si les Directives du DFF devaient s'appliquer, cette surface habitable devrait également être prise en compte (cf. Directives 2013 du DFF, ch. 3.2) selon une clé de répartition adéquate entre tous les occupants. Les charges seraient également à payer en sus (frais de chauffage, consommation électrique en général, approvisionnement en eau potable, retraitement des eaux usées, abonnement aux programmes TV par câble et à Internet, l'ascenseur, la gérance, le ramassage des ordures et des déchets végétaux, etc.) (cf. Directives 2013 du DFF, ch. 5). De plus, compte tenu de l'importance des rotations des gardes-frontière célibataires, un certain schématisme, tenant compte de la vraisemblance et de normes fondées sur des situations moyennes, est nécessaire. Ce souci de simplification de la procédure est d'ailleurs aussi dans l'intérêt du recourant car il évite une surcharge de l'appareil administratif et lui permet de savoir aisément, lors de chaque rotation, le prix du dédommagement à payer. Il convient également de rappeler à cet égard que le montant mensuel de 440 francs fixé par les instructions est relativement faible au regard de la valeur objective de la prestation accordée par l'employeur. Ainsi, tout bien pesé, il ne fait aucun doute qu'un dédommagement forfaitaire (charges comprises) de 440 francs, à (...), est en dessous de la valeur objective de la prestation fournie et reste dans des limites raisonnables. De surcroît, dans le cas particulier, l'autorité inférieure a accepté d'accorder exceptionnellement au recourant une déduction de 17.5 %, afin de tenir compte d'un équipement insuffisant. Le montant de 363 francs, porté à la charge du recourant, échappe dès lors à toute critique. Il n'y avait de même pas lieu, au vu de l'augmentation modérée (122 francs/mois), de prévoir un échelonnement particulier. Les différents griefs du recourant seront par conséquent rejetés.</w:t>
      </w:r>
    </w:p>
    <w:p>
      <w:r>
        <w:rPr>
          <w:b/>
        </w:rPr>
        <w:t>E. 6.4</w:t>
      </w:r>
    </w:p>
    <w:p>
      <w:r>
        <w:t>Au vu des considérants qui précèdent, la décision attaquée est conforme au droit et le recours s'avère mal fondé, ce qui conduit à son rejet.</w:t>
      </w:r>
    </w:p>
    <w:p>
      <w:r>
        <w:rPr>
          <w:b/>
        </w:rPr>
        <w:t>E. 7.1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7.2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