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A-1024/2016 vom 19. Juli 2017</w:t>
      </w:r>
    </w:p>
    <w:p>
      <w:r>
        <w:t>Bundesverwaltungsgericht, 2017-07-19, DE</w:t>
      </w:r>
    </w:p>
    <w:p>
      <w:r>
        <w:rPr>
          <w:b/>
        </w:rPr>
        <w:t xml:space="preserve">Quelle: </w:t>
      </w:r>
      <w:r>
        <w:t>https://mcp.opencaselaw.ch/entscheid/bvger_A-1024_2016</w:t>
      </w:r>
    </w:p>
    <w:p>
      <w:r>
        <w:t>FR: TAF A-1024/2016 du 19 juillet 2017</w:t>
      </w:r>
    </w:p>
    <w:p>
      <w:r>
        <w:t>IT: TAF A-1024/2016 del 19 luglio 2017</w:t>
      </w:r>
    </w:p>
    <w:p>
      <w:pPr>
        <w:pStyle w:val="Heading2"/>
      </w:pPr>
      <w:r>
        <w:t>Regeste</w:t>
      </w:r>
    </w:p>
    <w:p>
      <w:r>
        <w:t>(Teil-)Liquidation von Vorsorgeeinrichtungen</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nach Art. 74 Abs. 1 des Bundesgesetzes vom 25. Juni 1982 über die berufliche Alters-, Hinterlassenen- und Invalidenvorsorge (BVG; SR 831.40) in Verbindung mit Art. 33 Bst. i VGG jene der Aufsichtsbehörden im Bereich der beruflichen Vorsorge. Eine Ausnahme nach Art. 32 VGG liegt nicht vor. Die Zuständigkeit des Bundesverwaltungsgerichts ist somit gegeben.</w:t>
      </w:r>
    </w:p>
    <w:p>
      <w:r>
        <w:rPr>
          <w:b/>
        </w:rPr>
        <w:t>E. 1.3</w:t>
      </w:r>
    </w:p>
    <w:p>
      <w:r>
        <w:t>Das Verfahren richtet sich nach dem VwVG,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1.4</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VwVG). Die Beschwerdeführerin war bereits Partei im vorinstanzlichen Verfahren. Weiter ist sie durch die angefochtene Verfügung beschwert. Sie ist daher zur Beschwerde legitimiert.</w:t>
      </w:r>
    </w:p>
    <w:p>
      <w:r>
        <w:rPr>
          <w:b/>
        </w:rPr>
        <w:t>E. 1.5</w:t>
      </w:r>
    </w:p>
    <w:p>
      <w:r>
        <w:t>Im Rahmen der Replik (Sachverhalt Bst. I) hat die Beschwerdeführerin ihre Rechtsbegehren insofern angepasst, als sie ein neues Subeventualbegehren stellt. Es ist vorab zu prüfen, ob die Beschwerdeführerin mit dieser Änderungen den Streitgegenstand ausgedehnt hat oder nicht. Anfechtungsobjekt im vorliegenden Verfahren ist die Verfügung der Vorinstanz vom 19. Januar 2016. Da die gesamte Verfügung angefochten ist, ist der Streitgegenstand mit dem Anfechtungsobjekt identisch. Inhaltlich geht es um die Frage, ob die von der Beschwerdeführerin gebildeten Rückstellungen (mit Ausnahme jener für pendente Invaliditätsfälle) den kollektiv ausgetretenen Versicherten anteilsmässig mitzugeben sind. Der neue Subeventualantrag liegt klar innerhalb dieses Streitgegenstands, indem der Antrag eine Konzession zugunsten der Beschwerdegegner und -gegnerinnen macht. Es liegt keine unzulässige Erweiterung des Streitgegenstands vor.</w:t>
      </w:r>
    </w:p>
    <w:p>
      <w:r>
        <w:rPr>
          <w:b/>
        </w:rPr>
        <w:t>E. 1.6</w:t>
      </w:r>
    </w:p>
    <w:p>
      <w:r>
        <w:t>Auf die form- und fristgerecht eingereichte Beschwerde (Art. 50 Abs. 1 und Art. 52 Abs. 1 VwVG) ist einzutreten.</w:t>
      </w:r>
    </w:p>
    <w:p>
      <w:r>
        <w:rPr>
          <w:b/>
        </w:rPr>
        <w:t>E. 2.1</w:t>
      </w:r>
    </w:p>
    <w:p>
      <w:r>
        <w:t>Gemäss Art. 53d Abs. 1 BVG muss die Teilliquidation der Vorsorgeeinrichtung unter Berücksichtigung des Grundsatzes der Gleichbehandlung und nach fachlich anerkannten Grundsätzen durchgeführt werden. Der Bundesrat bezeichnet diese Grundsätze. Kommt es zu einer Teilliquidation einer Vorsorgeeinrichtung, so wird dieser ein sogenanntes Fortbestands- oder Fortführungsinteresse zugebilligt. Das Fortbestandsinteresse soll im Rahmen einer Teilliquidation die Sicherheit gewähren, dass die Vorsorge der verbleibenden Versicherten weitergeführt werden kann (Benno Ambrosini/Andrea Trüssel, Handlungsbedarf im Teilliquidationsverfahren, in: Schweizer Personalvorsorge [SPV] 2014 Heft 8, S. 49 f., 49). Unter diesem Titel bildet die Vorsorgeeinrichtung jene Reserven und Rückstellungen, welche sie mit Blick auf die anlage- und versicherungstechnischen Risiken nach Abwicklung der Teilliquidation benötigt, um die Vorsorge der verbleibenden Destinatäre im bisherigen Rahmen weiterzuführen (vgl. zum Ganzen BGE 131 II 514 E. 5.1 mit Hinweisen; Urteil des BVGer A-565/2013 vom 8. November 2016 E. 3.1.4; Isabelle Vetter-Schreiber, Berufliche Vorsorge, Kommentar BVG und FZG, 3. Aufl. 2013, Art. 27h BVV 2 N. 1; Sabina Wilson, Die Erstellung des Teilliquidationsreglements einer Vorsorgeeinrichtung und weitere Einzelfragen zur Durchführung einer Teilliquidation, 2016, S. 142 f. Rz. 451; Erich Peter, Die Verteilung von Rückstellungen bei Teilliquidation - das korrekte Vorgehen, in: Schweizerische Zeitschrift für Sozialversicherung und berufliche Vorsorge [SZS] 2014 S. 79 ff., 87 f., 90 und 95 f.).</w:t>
      </w:r>
    </w:p>
    <w:p>
      <w:r>
        <w:rPr>
          <w:b/>
        </w:rPr>
        <w:t>E. 2.2</w:t>
      </w:r>
    </w:p>
    <w:p>
      <w:r>
        <w:t>Art. 27h BVV 2 stützt sich auf den in Art. 53d Abs. 1 BVG festgehaltenen Grundsatz der Gleichbehandlung (E. 2.1). So sind bei kollektiven Übertritten den Austretenden nebst den Austrittsleistungen und den freien Mitteln u.a. sämtliche Rückstellungen nach den gemäss Art. 48e BVV 2 in einem Reglement festgelegten Regeln anteilsmässig mitzugeben. Die Geltendmachung von Fortbestandsinteressen wird dadurch eingeschränkt, ihnen ist aber ebenfalls Rechnung zu tragen (Vetter-Schreiber, a.a.O., Art. 27h BVV 2 N. 1). Mit anderen Worten soll die Vorsorgeeinrichtung die erforderlichen anlage- und versicherungstechnischen Reserven und Rückstellungen bilden können, die sie nach Abwicklung der Teilliquidation benötigt, um die Vorsorge der bisherigen Destinatäre im bisherigen Rahmen weiterzuführen. Profit darf der Fortbestand aus der Teilliquidation aber nicht schlagen. Die Gleichbehandlung, die der Abgangsbestand für sich reklamieren kann, verbietet dies. Unter diesem Titel hat der kollektiv in eine neue Vorsorgeeinrichtung übertretende Abgangsbestand Anspruch auf einen Anteil nicht nur an den freien Mitteln, sondern auch an den technischen Rückstellungen. Damit kann sich das Gleichbehandlungsgebot nur auf den verbleibenden Bestand einerseits und den abgehenden Bestand anderseits beziehen. Voraussetzung ist dabei, dass tatsächlich gleiche Verhältnisse in dem Sinne vorliegen, als die fraglichen Rückstellungen auch für den Abgangsbestand gebildet wurden. Trifft dies zu, werden - durch die Rückstellungen abgesicherte - versicherungstechnische Risiken übertragen: Mit dem Austritt muss die Vorsorgeeinrichtung die bis anhin vorhandenen versicherungstechnischen Risiken des Abgangsbestandes nicht länger tragen (vgl. zum Ganzen BGE 140 V 121 E. 4.3 mit Hinweisen auf BGE 131 II 514 E. 5.1 und 6.2; Urteil des BVGer C-1530/2013 vom 26. Oktober 2015 E. 6.1). Art. 27h Abs. 1 BVV 2 sieht denn auch vor, dass technische Rückstellungen dem Abgangsbestand nur soweit mitzugeben sind, als Risiken übertragen werden. In Bezug auf die Rückstellungen ist daher zu prüfen, welche Risiken und allenfalls in welchem Umfang diese übertragen werden. Nur die dafür geäufneten Mittel sind mitzugeben. Rückstellungen, die nach Durchführung der Teilliquidation nicht mehr für den Fortbestand benötigt werden, sind zugunsten des verfügbaren Vorsorgevermögens aufzulösen. Sie vergrössern damit die freien Mittel (vgl. Wilson, a.a.O., S. 68 f. N. 210; vgl. Urteil des BVGer A-565/2013 vom 8. November 2016 E. 6). Die Auflösung von Rückstellungen und deren Zuweisung an die (aufzuteilenden) freien Mittel ist dann zulässig und sogar vorgesehen (wie auch die BVS- und Stiftungsaufsicht des Kantons Zürich in ihrem Merkblatt «Technische Rückstellungen» vom Oktober 2015 Ziff. III/1 festhält), wenn die entsprechenden Rückstellungen nicht mehr benötigt werden, wenn sich also die entsprechenden Risiken nicht mehr verwirklichen können (und nicht schon, weil sie bei der übernehmenden Vorsorgeeinrichtung nicht versichert sind).</w:t>
      </w:r>
    </w:p>
    <w:p>
      <w:r>
        <w:rPr>
          <w:b/>
        </w:rPr>
        <w:t>E. 2.3.1</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141 V 191 E. 3, 138 V 17 E. 4.2, 137 IV 180 E. 3.4, 130 V 472 E. 6.5.1). Bei der Auslegung sind alle Auslegungselemente zu berücksichtigen (Methodenpluralismus; BGE 140 IV 118 E. 3.3, 138 II 217 E. 4.1, 138 II 440 E. 13, 138 IV 232 E. 3). Es sollen alle jene Methoden kombiniert werden, die für den konkreten Fall im Hinblick auf ein vernünftiges und praktikables Ergebnis am meisten Überzeugungskraft haben. Sind mehrere Lösungen denkbar, ist jene zu wählen, die der Verfassung entspricht (statt vieler: BGE 140 II 495 E. 2.3, 134 II 249 E. 2.3; BVGE 2007/41 E. 4.2; Urteil des BVGer A-6072/2013 vom 4. Juni 2015 [in BVGE 2015/25 nicht publizierte] E. 2.1 mit zahlreichen Hinweisen; André Moser/ Michael Beusch/Lorenz Kneubühler, Prozessieren vor dem Bundesverwaltungsgericht, 2. Aufl. 2013 Rz. 2.180 ff.).</w:t>
      </w:r>
    </w:p>
    <w:p>
      <w:r>
        <w:rPr>
          <w:b/>
        </w:rPr>
        <w:t>E. 2.3.2</w:t>
      </w:r>
    </w:p>
    <w:p>
      <w:r>
        <w:t>Zwar ist zumindest der deutsche Wortlaut von Art. 27h Abs. 1 Satz 3 BVV 2 («Der Anspruch auf Rückstellungen besteht jedoch nur, soweit auch versicherungstechnische Risiken übertragen werden») insofern nicht eindeutig, als das Wort «übertragen» neben dem Element des Abgebens auch jenes des Übernehmens enthalten kann, was so verstanden werden könnte, dass die übernehmende Vorsorgeeinrichtung diese Risiken auch versichern bzw. für dieselben Risiken Rückstellungen machen muss. In der französischen Version lautet dieser Satz aber: «Le droit aux provisions n'existe toutefois que si des risques actuariels sont également cédés». Die italienische Version lautet: «Il diritto a parte degli accantonamenti sussiste tuttavia soltanto nella misura in cui sono trasferiti rischi attuariali». Während die italienische Version mit der deutschen übereinstimmt, wird bei der französischen Fassung das Element des Abtretens stärker betont. Demnach würde es genügen, wenn die «Risiken» die abgebende Vorsorgeeinrichtung verlassen. Damit ergibt sich aus dem Wortlaut der französischen Fassung, dass die Sichtweise der abgebenden Vorsorgeeinrichtung entscheidend ist und es daher genügt, wenn die «Risiken», für die Rückstellungen gebildet wurden, die Vorsorgeeinrichtung verlassen, ohne dass geprüft werden müsste, ob die übernehmende Vorsorgeeinrichtung einen entsprechenden Schutz bietet. Die deutsche und die italienische Fassung deuten demgegenüber darauf hin, dass die übernehmende Einrichtung einen vergleichbaren Risikoschutz bieten muss.</w:t>
      </w:r>
    </w:p>
    <w:p>
      <w:r>
        <w:rPr>
          <w:b/>
        </w:rPr>
        <w:t>E. 2.3.3</w:t>
      </w:r>
    </w:p>
    <w:p>
      <w:r>
        <w:t>Sinn und Zweck des genannten Satzes besteht darin, dass jene Versicherten, die aus einer Vorsorgeeinrichtung der beruflichen Vorsorge austreten, an jenen Rückstellungen, die (auch) für sie gebildet wurden und die sie oft (auch) geäuffnet haben, anders als bei individuellen Austritten (vgl. Wilson, a.a.O., S. 71 Rz. 220), partizipieren sollen. Dies spricht ebenfalls dafür, dass diese Versicherten, sofern sie tatsächlich zu jener Gruppe gehören, für die die Reserven gebildet wurden, den entsprechenden Anteil an diesen Reserven in die übernehmende Vorsorgeeinrichtung mitnehmen und zwar unabhängig davon, ob die übernehmende Einrichtung einen entsprechenden Schutz bietet. Zweck dieses Satzes ist auch klarzustellen, dass vom Übertragungsanspruch nur spezifisch versicherungstechnische Rückstellungen erfasst sind, und nicht auch Posten, wie Rückstellungen für latente Steuern und Abgaben, für die Liquidationskosten bei etwaig zu veräussernden Vermögenswerten, für Prozessrisiken oder auch für die Kosten der Teilliquidation (Wilson, a.a.O., S. 68 Rz. 209).</w:t>
      </w:r>
    </w:p>
    <w:p>
      <w:r>
        <w:rPr>
          <w:b/>
        </w:rPr>
        <w:t>E. 2.3.4</w:t>
      </w:r>
    </w:p>
    <w:p>
      <w:r>
        <w:t>Zum gleichen Ergebnis gelangt man aufgrund der Systematik: Art. 27h Abs. 1 BVV 2 hält als Grundsatz die anteilsmässige Partizipation des austretenden Bestands an den Reserven fest. Allerdings erfolgt in Satz 3 insofern eine Einschränkung, als die «Risiken» die Vorsorgeeinrichtung tatsächlich verlassen müssen. Damit soll verhindert werden, dass austretende Versicherte, die nicht zur entsprechenden Risikogruppe gehörten, nun von Rückstellungen profitieren, die nicht für sie gedacht waren. Insofern stellt Art. 27h Abs. 1 Satz 3 BVV 2 eine Konkretisierung des Gleichbehandlungsgrundsatzes gemäss Art. 1 BVG dar, der in Bezug auf Teil- und Gesamtliquidationen in Art. 53d Abs. 1 BVG spezifiziert wird. Dieser besagt gemäss ständiger Rechtsprechung des Bundesgerichts (insbesondere zu Art. 8 der Bundesverfassung der Schweizerischen Eidgenossenschaft vom 18. April 1999 [BV, SR 101]), dass Gleiches nach Massgabe seiner Gleichheit gleich und Ungleiches nach Massgabe seiner Ungleichheit ungleich zu behandeln ist (statt vieler: Rainer J. Schweizer, in: Ehrenzeller/Schindler/Schweizer/Vallender [Hrsg.], Die Schweizerische Bundesverfassung, St. Galler Kommentar, 3. Aufl. 2014, Art. 8 BV Rz. 19 mit Hinweisen auf die bundesgerichtliche Rechtsprechung). Konkret bedeutet dies Folgendes: Gleich zu behandeln sind nach Art. 27h Abs. 1 BVV 2 die austretenden Versicherten der entsprechenden Risikogruppe mit den verbleibenden Versicherten der entsprechenden Risikogruppe. Aus der unterschiedlichen Wortwahl der Bestimmung in Bezug auf den Anspruch auf Wertschwankungsreserven und die Rückstellungen ergibt sich nichts anderes: Die Einschränkung bei den Rückstellungen bezieht sich einzig darauf, dass die diesbezüglichen Risiken tatsächlich «übertragen» werden müssen. Was dies bedeutet, wird im Rahmen dieser Auslegung bestimmt. Weitergehende Einschränkungen können der Bestimmung nicht entnommen werden.</w:t>
      </w:r>
    </w:p>
    <w:p>
      <w:r>
        <w:rPr>
          <w:b/>
        </w:rPr>
        <w:t>E. 2.3.5</w:t>
      </w:r>
    </w:p>
    <w:p>
      <w:r>
        <w:t>Zusammengefasst gibt die französische Sprachfassung den Sinn von Art. 27h Abs. 1 Satz 3 BVV 2 am besten wieder. Es ist damit für die technischen Rückstellungen zu prüfen, ob mit dem austretenden Kollektiv auch entsprechende Risiken austreten bzw. ob die Rückstellungen auch für das austretende Kollektiv gebildet wurden und dieses - würde es in der abgebenden Kasse verbleiben - allenfalls davon profitieren könnte, also rein auf die Sicht der abgebenden Vorsorgeeinrichtung abzustellen. Ist derlei der Fall, sind die technischen Rückstellungen im entsprechenden Umfang mitzugeben. Eine anders lautende reglementarische Bestimmung verstiesse gegen übergeordnetes Recht und wäre nicht anzuwenden (so auch Wilson, a.a.O., S. 90 Rz. 285). Die Frage ist für alle Rückstellungen einzeln zu beantworten, wenn nicht von Vornherein klar ist, dass alle demselben Muster folgen.</w:t>
      </w:r>
    </w:p>
    <w:p>
      <w:r>
        <w:rPr>
          <w:b/>
        </w:rPr>
        <w:t>E. 3</w:t>
      </w:r>
    </w:p>
    <w:p>
      <w:r>
        <w:t>Im vorliegenden Verfahren geht es um die Frage, welche Rückstellungen die abtretende Pensionskasse im Rahmen einer Teilliquidation dem austretenden Bestand der Versicherten mitzugeben hat. Nicht bestritten ist, dass die Voraussetzungen einer Teilliquidation vorliegen. Ebenfalls nicht bestritten ist die Verteilung der übrigen Mittel. In Bezug auf die Rückstellungen wiederum sind sich die Parteien einig, dass jene für pendente Invaliditätsfälle bei der Beschwerdeführerin verbleiben, da die entsprechenden Risiken nicht auf die Beschwerdegegnerin 1 übertragen würden.</w:t>
      </w:r>
    </w:p>
    <w:p>
      <w:r>
        <w:rPr>
          <w:b/>
        </w:rPr>
        <w:t>E. 3.1</w:t>
      </w:r>
    </w:p>
    <w:p>
      <w:r>
        <w:t>Die Beschwerdeführerin macht geltend, BGE 140 II 121 sei nicht direkt auf den vorliegenden Fall zu übertragen (Sachverhalt Bst. F. am Ende). Darauf ist zuerst einzugehen.</w:t>
      </w:r>
    </w:p>
    <w:p>
      <w:r>
        <w:rPr>
          <w:b/>
        </w:rPr>
        <w:t>E. 3.1.1</w:t>
      </w:r>
    </w:p>
    <w:p>
      <w:r>
        <w:t>Das Bundesgericht stellte in diesem Entscheid fest, dass allein auf die Sicht der abgebenden Vorsorgeeinrichtung abzustellen ist, um zu bestimmen, ob Risiken übertragen werden. Voraussetzung sei nur, dass die entsprechenden Rückstellungen auch für den Abgangsbestand gebildet worden seien (BGE 140 V 121 E. 4.3 f.; vgl. auch Wilson, a.a.O., S. 90 Rz. 284 und S. 142 Rz. 450; Laurence Uttinger, Grundsätze und Gestaltungsspielräume, in: SPV 2014 Heft 8, S. 57 f., 58). Gemäss Bundesgericht muss die abgebende Vorsorgeeinrichtung mit dem Austritt die bis dahin vorhandenen versicherungstechnischen Risiken des Abgangsbestands nicht länger tragen (BGE 140 V 121 E. 4.3; anders noch unter altem Recht: BGE 131 II 514 E. 6.3; zu dieser Änderung Anne Troillet, Cession de risques actuariels en cas de liquidation partielle, in: SPV 2015 Heft 12 S. 101 f.; differenziert mit Verweis auf BGE 131 II 514, aber noch vor BGE 140 V 121: Peter, a.a.O., S. 96; vgl. auch Wilson, a.a.O., S. 91 Rz. 289). Mit anderen Worten spielt es für das Bundesgericht keine Rolle, ob das entsprechende Risiko auch bei der neuen Vorsorgeeinrichtung versichert wird, sondern nur, ob die «Risiken» die abgebende Vorsorgeeinrichtung verlassen (so auch Troillet, a.a.O., S. 102).</w:t>
      </w:r>
    </w:p>
    <w:p>
      <w:r>
        <w:rPr>
          <w:b/>
        </w:rPr>
        <w:t>E. 3.1.2</w:t>
      </w:r>
    </w:p>
    <w:p>
      <w:r>
        <w:t>Auch wenn das Bundesgericht in diesem Verfahren einen konkreten Fall zu beurteilen hatte und insofern ein davon abweichendes Ergebnis bei anderer Sachlage möglich wäre, ist der Beschwerdeführerin entgegenzuhalten, dass den bundesgerichtlichen Erwägungen über das konkrete Verfahren hinaus Bedeutung zukommt. Es sind keine Gründe ersichtlich, weshalb diese nicht auch in anderen Fällen dem richtig verstandenen Sinn des Gesetzes entsprechen würden, weshalb sie für die Anwendung von Art. 27h Abs. 1 Satz 3 BVV 2 generell heranzuziehen sind (vgl. E. 2.3).</w:t>
      </w:r>
    </w:p>
    <w:p>
      <w:r>
        <w:rPr>
          <w:b/>
        </w:rPr>
        <w:t>E. 3.2</w:t>
      </w:r>
    </w:p>
    <w:p>
      <w:r>
        <w:t>Damit ist festzuhalten, dass Art. 9 Abs. 3 des hier anwendbaren Teilliquidationsreglements der Beschwerdeführerin vom 13. November 2009 (gültig ab 1. Juni 2009) nicht angewendet werden kann, soweit er auf die Verwendung der Mittel bei der neuen Vorsorgeeinrichtung Bezug nimmt. Letzteres ist nicht rechtmässig (E. 2.3.5). Im Folgenden ist nun auf die einzelnen streitigen Rückstellungen einzugehen. Hierzu ist auf das Reglement der Beschwerdeführerin zur Festlegung der Rückstellungspolitik, gültig ab 31. Dezember 2011 (nachfolgend: Rückstellungsreglement), abzustellen: - Rückstellung für Finanzierung der Besitzstände (E. 3.3) - Rückstellung für nicht finanzierten Teil der Risikoprämie (E. 3.4) - Rückstellung für Pensionierungsverluste (E. 3.5) - Rückstellungen für Versicherungsrisiken (E. 3.6)</w:t>
      </w:r>
    </w:p>
    <w:p>
      <w:r>
        <w:rPr>
          <w:b/>
        </w:rPr>
        <w:t>E. 3.3.1</w:t>
      </w:r>
    </w:p>
    <w:p>
      <w:r>
        <w:t>Die Rückstellung für Finanzierung der Besitzstände wurde in Folge der Umstellung vom Leistungs- auf das Beitragsprimat gebildet und zwar zur Finanzierung der in den Statuten gewährten Leistungen aufgrund diverser Übergangsbestimmungen. Die notwendige Höhe wird jährlich vom Pensionskassenexperten auf Basis der individuellen Vorsorgekapitalien, der jeweils gültigen Umwandlungssätze und der individuellen Höhe der statischen Garantie berechnet (Art. 8 Rückstellungsreglement).</w:t>
      </w:r>
    </w:p>
    <w:p>
      <w:r>
        <w:rPr>
          <w:b/>
        </w:rPr>
        <w:t>E. 3.3.2</w:t>
      </w:r>
    </w:p>
    <w:p>
      <w:r>
        <w:t>Gemäss Ausführungen der Beschwerdeführerin in der Beschwerdeschrift (S. 19 Ziff. 2.1) wurde denjenigen aktiven Mitgliedern, welche am 31. Dezember 2002 gemäss den damaligen Statuten versichert waren, die Höhe der Risikorenten (Invaliden- und Ehegattenrenten) frankenmässig garantiert. Dafür wurden die entsprechenden Rückstellungen gebildet. Demnach wurden die Rückstellungen nur für Versicherte gebildet, die am 31. Dezember 2002 bereits bei der Beschwerdeführerin versichert waren. Die Beschwerdeführerin muss dieses Risiko für den austretenden Bestand nicht mehr tragen. Bei der Berechnung der Höhe der mitzugebenden Rückstellungen wird zu berücksichtigen sein, dass nur für die bereits am 31. Dezember 2002 bei der Beschwerdeführerin Versicherten die entsprechende Rückstellung gebildet wurde. Sie ist dementsprechend auch nur in dem Umfang mitzugeben, wie solche Versicherte die Beschwerdeführerin verlassen. Sofern nämlich solche Versicherte die Beschwerdeführerin verlassen, wird auch das entsprechende Risiko übertragen. Der entsprechende Anteil an der Rückstellung ist daher dem austretenden Kollektiv mitzugeben. Selbstredend kommt dieses nicht mehr in den Genuss einer von der Beschwerdeführerin garantierten Besitzstandsleistung. Das ist jedoch unerheblich. Ob bei der Beschwerdegegnerin 1 eine entsprechende Regelung gilt, ist nicht zu prüfen. Entscheidend ist einzig, dass mit dem Abgang sich das entsprechende Risiko in Bezug auf das austretende Kollektiv nicht mehr bei der Beschwerdeführerin verwirklichen wird, also übertragen wird (E. 2.3 und E. 3.1 f.).</w:t>
      </w:r>
    </w:p>
    <w:p>
      <w:r>
        <w:rPr>
          <w:b/>
        </w:rPr>
        <w:t>E. 3.3.3</w:t>
      </w:r>
    </w:p>
    <w:p>
      <w:r>
        <w:t>Im Gegensatz zu BGE 131 II 514, den die Beschwerdeführerin nennt, geht es nicht um eine zukünftige Lohnpolitik, die bezüglich der ausscheidenden Destinatäre allein beim neuen Arbeitgeber liegen würde, sondern - wie die Beschwerdeführerin selbst vorbringt - um eine frankenmässige Garantie des Betrags der Altersrente bei bestimmten Versicherten. Für die austretenden Versicherten wird sie das Risiko, einen Teil der Rente aus den Rückstellungen finanzieren zu müssen, nicht mehr tragen. Der Verbleib der Rückstellung bei der Beschwerdeführerin käme mithin nur dann in Frage, wenn die Garantie nur für Versicherte gegeben worden wäre, die bei der Beschwerdeführerin verbleiben, wenn also alle bereits am 31. Dezember 2002 bei der Beschwerdeführerin versicherten Personen bei dieser bleiben. In diesem Fall wäre nämlich das entsprechende Risiko nicht übergegangen. Dies wird (wie bereits erwähnt) bei der Neuberechnung der Höhe der mitzugebenden Rückstellungen zu berücksichtigen sein (E. 3.3.2).</w:t>
      </w:r>
    </w:p>
    <w:p>
      <w:r>
        <w:rPr>
          <w:b/>
        </w:rPr>
        <w:t>E. 3.4.1</w:t>
      </w:r>
    </w:p>
    <w:p>
      <w:r>
        <w:t>Die Rückstellung für den nicht finanzierten Teil der Risikoprämie wird wie folgt definiert (Art. 9 des Rückstellungsreglements): «Ergibt die jährliche Berechnung der durchschnittlichen Risikoprämie (im Rahmen der durchgeführten Risikoanalyse) einen Wert, welcher über dem reglementarischen Risikobeitrag von 4.50 % liegt, wird der nicht finanzierte Teil der Risikoprämie zurück gestellt».</w:t>
      </w:r>
    </w:p>
    <w:p>
      <w:r>
        <w:rPr>
          <w:b/>
        </w:rPr>
        <w:t>E. 3.4.2</w:t>
      </w:r>
    </w:p>
    <w:p>
      <w:r>
        <w:t>Wie die Beschwerdeführerin selbst ausführt, liegt auch dieses Risiko nicht auf den einzelnen Versicherten, sondern auf dem Kollektiv als Ganzem. Das Risiko wird sich in Bezug auf die austretenden Versicherten nicht mehr bei der Beschwerdeführerin realisieren. Es geht somit nicht an, dass die Beschwerdeführerin das Risiko einer Unterfinanzierung zulasten der austretenden Versicherten finanziert. Für Risiken, welche dadurch neu entstehen, dass sich der verbleibende Bestand verringert, hätten allenfalls eigene Rückstellungen im Rahmen der Teilliquidation gebildet werden können, was vorliegend nicht zu prüfen ist. Technische Rückstellungen aber, die für sämtliche Versicherten gebildet worden sind, sind dem Abgangsbestand in dem Umfang mitzugeben, in dem die versicherten Risiken die Beschwerdeführerin verlassen (E. 2.3 und E. 3.1). Weiter ist dem Argument der Beschwerdeführerin, dass statt der Bildung von Rückstelllungen einfach die Risikobeiträge hätten erhöht werden können und davon das austretende Kollektiv direkt betroffen gewesen wäre, nicht zu folgen. Es ist grundsätzlich von dem Sachverhalt auszugehen, der sich tatsächlich ereignet hat, nicht von einem hypothetischen. Nicht von Bedeutung ist weiter, dass diese Rückstellungen im (hier nicht anwendbaren) Rückstellungsreglement der Beschwerdeführerin, gültig ab 31. Dezember 2014, nicht mehr aufgeführt werden.</w:t>
      </w:r>
    </w:p>
    <w:p>
      <w:r>
        <w:rPr>
          <w:b/>
        </w:rPr>
        <w:t>E. 3.5.1</w:t>
      </w:r>
    </w:p>
    <w:p>
      <w:r>
        <w:t>Die Rückstellung für Pensionierungsverluste wird gebildet, weil die reglementarischen Umwandlungssätze nicht den versicherungstechnisch korrekten Werten entsprechen. Dadurch entsteht bei jeder Pensionierung ein Verlust, der durch die Pensionskasse getragen werden muss. Zur Finanzierung dieser Kosten wird eine Rückstellung gebildet.</w:t>
      </w:r>
    </w:p>
    <w:p>
      <w:r>
        <w:rPr>
          <w:b/>
        </w:rPr>
        <w:t>E. 3.5.2</w:t>
      </w:r>
    </w:p>
    <w:p>
      <w:r>
        <w:t>Diese Rückstellungen wurden für alle aktiven Versicherten gebildet. Die Beschwerdeführerin verlangt subeventualiter, die Rückstellungen für Pensionierungsverluste seien insoweit dem austretenden Bestand anteilsmässig mitzugeben, als das Risiko der Pensionierungsverluste auf die Beschwerdegegnerin 1 übergehe und dieses Risiko bei der Beschwerdegegnerin 1 im gleichen Umfang wie bei der Beschwerdeführerin weiterbestehe. Das entsprechende Risiko ist von der Beschwerdeführerin in der Tat nur noch für die bei ihr verbleibenden Versicherten zu tragen, nicht mehr für den Abgangsbestand. In diesem Umfang verringert sich damit das Risiko für die Beschwerdeführerin und der auf den Abgangsbestand entfallende Anteil an der Rückstellung ist diesem mitzugeben und zwar - anders als die Beschwerdeführerin beantragt - nicht nur im Umfang, in dem die Beschwerdegegnerin 1 die gleichen Pensionierungsverluste trägt. Ob und bejahendenfalls wie dieses Risiko auch bei der Beschwerdegegnerin 1 versichert ist, ist nicht zu prüfen (E. 2.3 und E. 3.1). Deren technische Parameter sind damit unerheblich.</w:t>
      </w:r>
    </w:p>
    <w:p>
      <w:r>
        <w:rPr>
          <w:b/>
        </w:rPr>
        <w:t>E. 3.6.1</w:t>
      </w:r>
    </w:p>
    <w:p>
      <w:r>
        <w:t>Rückstellungen für Versicherungsrisiken werden gebildet, weil die Pensionskasse neben dem erforderlichen Kapital zur Finanzierung der Altersleistungen auch das Kapital zur Deckung der Versicherungsfälle infolge Tod und Invalidität aufbringen muss. Diese Risiken unterliegen starken Schwankungen. Die Rückstellungen sollen die kurzfristig auftretenden Schwankungen im Risikoverlauf auffangen (Art. 7 des Rückstellungsreglements).</w:t>
      </w:r>
    </w:p>
    <w:p>
      <w:r>
        <w:rPr>
          <w:b/>
        </w:rPr>
        <w:t>E. 3.6.2</w:t>
      </w:r>
    </w:p>
    <w:p>
      <w:r>
        <w:t>Wiederum muss die Beschwerdeführerin in Bezug auf die austretenden Versicherten das Risiko nicht mehr abdecken. Ein negativer Risikoverlauf kann sich zudem auch im austretenden Bestand ergeben (Troillet, a.a.O, S. 102; Uttinger, a.a.O., S. 58; differenziert: Fritz Steiger, Die Teilliquidation nach Artikel 53b BVG, in: Aktuelle Juristische Praxis [AJP] 2007, S. 1051 ff., 1061), wobei dies für den vorliegenden Entscheid nicht relevant ist. Ein entsprechender Anteil an dieser Rückstellung ist daher ebenfalls dem Abgangsbestand mitzugeben. Ob und bejahendenfalls wie die Beschwerdegegnerin 1 diese Risiken tatsächlich versichert, ist unerheblich (E. 2.3 und E. 3.1). Auch die Beschwerdeführerin beantragt eventualiter, dass diese Rückstellung anteilsmässig mitgegeben werden könne, macht dies aber davon abhängig, inwieweit das Risiko bei der Beschwerdegegnerin 1 weiterbestehe. Änderungen im Bestand der Versicherten, insbesondere die Verminderung der Anzahl der aktiven Versicherten, sind allenfalls durch dafür eigenständig zu bildende Rückstellungen aufzufangen, nicht durch die «Nichtmitgabe» der entsprechenden Rückstellungen bzw. der Auflösung des nicht mitgegebenen Anteils zu Gunsten der Wertschwankungsreserve.</w:t>
      </w:r>
    </w:p>
    <w:p>
      <w:r>
        <w:rPr>
          <w:b/>
        </w:rPr>
        <w:t>E. 3.7</w:t>
      </w:r>
    </w:p>
    <w:p>
      <w:r>
        <w:t>Die Auflösung der genannten Rückstellungen und die Zuweisung an die freien Mittel oder die Wertschwankungsreserven ist vorliegend nicht möglich, da diese Rückstellungen (soweit ersichtlich) bei der abgebenden Einrichtung noch benötigt werden und sich die entsprechenden Risiken noch verwirklichen können. Die Rückstellungen dürfen daher auch nicht in dem Umfang aufgelöst werden, wie er bei der Beschwerdeführerin selbst nicht mehr benötigt wird (E. 2.2). In diesem Umfang sind sie dem Abgangsbestand mitzugeben. Auf die Frage, ob das konkrete Vorgehen der Beschwerdeführerin unter anderen Umständen zulässig wäre, ist nicht einzugehen.</w:t>
      </w:r>
    </w:p>
    <w:p>
      <w:r>
        <w:rPr>
          <w:b/>
        </w:rPr>
        <w:t>E. 3.8</w:t>
      </w:r>
    </w:p>
    <w:p>
      <w:r>
        <w:t>Zwar sind die Erhöhung bestehender Rückstellungen und Bildung neuer im Rahmen einer Teilliquidation möglich, doch sind sie nur mit Zurückhaltung zuzulassen (vgl. E. 2.1). Da es vorliegend gerade nicht um neue Rückstellungen oder die Erhöhung bestehender geht, ist darauf aber nicht weiter einzugehen. Auch auf den Deckungsgrad ist im vorliegenden Zusammenhang nicht einzugehen.</w:t>
      </w:r>
    </w:p>
    <w:p>
      <w:r>
        <w:rPr>
          <w:b/>
        </w:rPr>
        <w:t>E. 4</w:t>
      </w:r>
    </w:p>
    <w:p>
      <w:r>
        <w:t>Die Vorinstanz hat demnach den Überprüfungsantrag zu Recht teilweise gutgeheissen, die anteilsmässige Mitgabe der kollektiven Rückstellungen - mit Ausnahme der Rückstellungen für pendente Invaliditätsfälle - an die kollektiv ausgetretenen Versicherten verfügt und die damalige Antragsgegnerin und Beschwerdeführerin im vorliegenden Verfahren aufgefordert, die Teilliquidationsbilanz im Sinne der Erwägungen neu zu erstellen und unter gegebenen reglementarischen Voraussetzungen auch die kollektiven Rückstellungen neu zu berechnen. Die Beschwerde ist abzuweisen und die vorinstanzliche Verfügung vom 19. Januar 2016 ist zu bestätigen.</w:t>
      </w:r>
    </w:p>
    <w:p>
      <w:r>
        <w:rPr>
          <w:b/>
        </w:rPr>
        <w:t>E. 5.1</w:t>
      </w:r>
    </w:p>
    <w:p>
      <w:r>
        <w:t>Bei diesem Ausgang des Verfahrens sind der unterliegenden Beschwerdeführerin die Verfahrenskosten, welche auf Fr. 10'000.-- festzusetzen sind, aufzuerlegen (Art. 63 Abs. 1 VwVG). Der einbezahlte Kostenvorschuss in gleicher Höhe wird zur Bezahlung der Verfahrenskosten verwendet.</w:t>
      </w:r>
    </w:p>
    <w:p>
      <w:r>
        <w:rPr>
          <w:b/>
        </w:rPr>
        <w:t>E. 5.2</w:t>
      </w:r>
    </w:p>
    <w:p>
      <w:r>
        <w:t>Gemäss Art. 64 Abs. 1 VwVG kann die Beschwerdeinstanz der ganz oder teilweise obsiegenden Partei von Amtes wegen oder auf Begehren eine Entschädigung für ihr erwachsende Kosten aussprechen. Allerdings steht der Vorinstanz als «andere Behörde» gemäss Art. 7 Abs. 3 des Reglements vom 21. Februar 2008 über die Kosten und Entschädigungen vor dem Bundesverwaltungsgericht (VGKE, SR 173.320.2) in der Regel keine Parteientschädigung zu. Es besteht hier kein Grund, von dieser Regel abzuweichen. Im vorliegenden Fall rechtfertigt es sich aber, den rechtsvertretenen Beschwerdegegnerinnen und -gegnern 2-18 dem Verfahrensausgang entsprechend eine Parteientschädigung zuzusprechen (vgl. Art. 64 Abs. 1 VwVG i.V.m. Art. 7 ff. VGKE). Der nicht vertretenen Beschwerdegegnerin 1 sind hingegen keine verhältnismässig hohen Mehrkosten entstanden, weshalb ihr keine Parteientschädigung zuzusprechen ist (vgl. Art. 64 Abs. 1 VwVG i.V.m. Art. 7 Abs. 4 VGKE). Wird keine Kostennote eingereicht, setzt das Gericht die Entschädigung auf Grund der Akten fest (Art. 14 Abs. 2 VGKE). Angesichts der Bedeutung der Streitsache und des Umfanges des aus den vorliegenden Akten ersichtlichen Aufwandes ist die Parteientschädigung praxisgemäss auf insgesamt Fr. 15'000.-- (inkl. Mehrwertsteuerzuschlag im Sinne von Art. 9 Abs. 1 Bst. c VGKE und Auslagen)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