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A-101/2011 vom 7. September 2011</w:t>
      </w:r>
    </w:p>
    <w:p>
      <w:r>
        <w:t>Bundesverwaltungsgericht, 2011-09-07, DE</w:t>
      </w:r>
    </w:p>
    <w:p>
      <w:r>
        <w:rPr>
          <w:b/>
        </w:rPr>
        <w:t xml:space="preserve">Quelle: </w:t>
      </w:r>
      <w:r>
        <w:t>https://mcp.opencaselaw.ch/entscheid/bvger_A-101_2011</w:t>
      </w:r>
    </w:p>
    <w:p>
      <w:r>
        <w:t>FR: TAF A-101/2011 du 7 septembre 2011</w:t>
      </w:r>
    </w:p>
    <w:p>
      <w:r>
        <w:t>IT: TAF A-101/2011 del 7 settembre 2011</w:t>
      </w:r>
    </w:p>
    <w:p>
      <w:pPr>
        <w:pStyle w:val="Heading2"/>
      </w:pPr>
      <w:r>
        <w:t>Regeste</w:t>
      </w:r>
    </w:p>
    <w:p>
      <w:r>
        <w:t>Militärische Landesverteidigung (Übriges)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Beschwerde richtet sich gegen eine Verfügung des VBS. Das Bun­desverwaltungsgericht beurteilt gemäss Art. 31 des Ver­waltungs­gerichts­gesetzes vom 17. Juni 2005 (VGG, SR 173.32) Beschwer­den gegen Verfügungen nach Art. 5 VwVG. Gemäss Art. 5 Abs. 1 Bst. c VwVG gilt auch das Nichteintreten auf Begehren um Feststellung von Rech­ten und Pflichten als Verfügung. Da hier zudem keine Ausnahme nach Art. 32 VGG vorliegt und mit dem VBS eine Vorinstanz im Sinne von Art. 33 Bst. d VGG verfügt hat, ist das Bundesverwal­tungsgericht zur Beur­teilung der Beschwerde zuständig.</w:t>
      </w:r>
    </w:p>
    <w:p>
      <w:r>
        <w:rPr>
          <w:b/>
        </w:rPr>
        <w:t>E. 1.2</w:t>
      </w:r>
    </w:p>
    <w:p>
      <w:r>
        <w:t>Das Verfahren richtet sich nach dem VwVG, soweit das VGG nichts an­deres bestimmt (Art. 37 VGG).</w:t>
      </w:r>
    </w:p>
    <w:p>
      <w:r>
        <w:rPr>
          <w:b/>
        </w:rPr>
        <w:t>E. 1.3</w:t>
      </w:r>
    </w:p>
    <w:p>
      <w:r>
        <w:t>Zur Beschwerde ist nach Art. 48 Abs. 1 VwVG berechtigt, wer vor der Vor­instanz am Verfahren teilgenommen hat oder keine Möglichkeit zur Teil­nahme erhalten hat, durch die angefochtene Verfügung besonders berührt ist und ein schutzwürdiges Interesse an deren Aufhebung oder Ände­rung hat. Die Beschwerdeführenden nahmen am vorinstanzlichen Verfah­ren teil; dies gilt auch für die fünf in Bst. D des Sachverhalts genannten Personen, die am 3. Juni 2010 dem Verfahren beigetreten sind und die in der vor­instanzlichen Ver­fügung vom 23. November 2010 nicht genannt werden. Als Adressaten der Verfügung sind sie von ihr be­rührt und ha­ben ein schutz­würdiges Interesse an der Aufhebung der Nichteintretens­verfügung, damit ihr Anspruch materiell über­prüft wird. Die Be­schwer­de­füh­ren­den sind somit zur Beschwerde berech­tigt.</w:t>
      </w:r>
    </w:p>
    <w:p>
      <w:r>
        <w:rPr>
          <w:b/>
        </w:rPr>
        <w:t>E. 1.4</w:t>
      </w:r>
    </w:p>
    <w:p>
      <w:r>
        <w:t>Zum Streitgegenstand ist Folgendes festzuhalten: Zu beurteilen ist vor­liegend nicht die ma­terielle Frage der Widerrechtlichkeit, sondern nur, ob die Vorinstanz zu Recht nicht auf das Feststellungsbegehren eingetreten ist (vgl. Markus Müller, Rechtsschutz ge­gen Verwaltungsrealakte, in: Pierre Tschannen (Hrsg.), Neue Bundesrechts­pflege, Berner Tage für die juristische Praxis 2006, Bern 2007, S. 313 ff., 359 f.). Es ist somit hier nicht von Bedeutung, ob die Beschwerdeführenden den Zeit­raum von 2006-2009 oder von 2006-2010 beurteilt haben möchten. So­weit die Beschwer­deführenden die materielle Beurteilung der Angelegen­heit durch die Rechtsmittelbehörde beantragen, ist auf ihre Beschwerde nicht einzutre­ten.</w:t>
      </w:r>
    </w:p>
    <w:p>
      <w:r>
        <w:rPr>
          <w:b/>
        </w:rPr>
        <w:t>E. 1.5</w:t>
      </w:r>
    </w:p>
    <w:p>
      <w:r>
        <w:t>Auf die frist- und formgerecht eingereichte Beschwerde (vgl. Art. 50 und Art. 52 VwVG) ist - vorbehältlich der Ausführungen in Erwägung 1.4 - einzutreten.</w:t>
      </w:r>
    </w:p>
    <w:p>
      <w:r>
        <w:rPr>
          <w:b/>
        </w:rPr>
        <w:t>E. 2</w:t>
      </w:r>
    </w:p>
    <w:p>
      <w:r>
        <w:t>Das Bundesverwaltungsgericht überprüft die angefochtene Verfügung mit vol­ler Kognition (Art. 49 VwVG).</w:t>
      </w:r>
    </w:p>
    <w:p>
      <w:r>
        <w:rPr>
          <w:b/>
        </w:rPr>
        <w:t>E. 3</w:t>
      </w:r>
    </w:p>
    <w:p>
      <w:r>
        <w:t>Bevor darauf eingegangen werden kann, ob die Vorinstanz zu Recht nicht auf die Beschwerde eingetreten ist, werden im Folgenden zunächst die recht­lichen Rahmenbedingungen des Flugplatzes Meiringen dargelegt.</w:t>
      </w:r>
    </w:p>
    <w:p>
      <w:r>
        <w:rPr>
          <w:b/>
        </w:rPr>
        <w:t>E. 3.1</w:t>
      </w:r>
    </w:p>
    <w:p>
      <w:r>
        <w:t>Beim Flugplatz Meiringen handelt es sich um eine militärische Anla­ge. Für die Errichtung oder Änderung der Anlage oder die Änderung des mi­li­tärischen Zwecks ist ein Plangenehmigungsverfahren nach Art. 126 Abs. 1 des Bundesgesetzes über die Armee und die Militärverwal­tung vom 3. Februar 1995 (Militärgesetz, MG; SR 510.10) durchzuführen. Weiter unter­liegt der Militärflugplatz der Sachplanpflicht (Art. 126 Abs. 4 MG und Art. 14 der Raumplanungsverordnung vom 28. Juni 2000 [RPV, SR 700.1]) und ist unter anderem bei wesentlichen Betriebsänderungen der UVP-Pflicht un­terstellt, wo­bei das massgebende Verfahren das Plangeneh­migungsver­fahren ist (Art. 2 Abs. 1 Bst. a und Art. 5 sowie Anhang Ziff. 50.3 der Ver­ordnung über die Umweltverträglichkeitsprüfung vom 19. Ok­tober 1988 [UVPV, SR 814.011]).</w:t>
      </w:r>
    </w:p>
    <w:p>
      <w:r>
        <w:rPr>
          <w:b/>
        </w:rPr>
        <w:t>E. 3.2</w:t>
      </w:r>
    </w:p>
    <w:p>
      <w:r>
        <w:t>Der Militärflugplatz Meiringen verfügt über ein vom Bundesrat am 28. Fe­bruar 2001 genehmigtes Objektblatt Sachplan Militär, das ge­stützt auf den Lärmbelastungskataster (LBK) vom 17. Oktober 1997 (LBK 1997) fest­ge­setzt wurde. Weiter verfügt der Flugplatz offenbar über ein Be­triebs­reg­le­ment (vgl. UVB Militärflugplatz Meiringen vom August 2007, S. 16). Weil der Betrieb des Militärflugplatzes Meiringen gemäss LBK 1997 zu über­mäs­sigen Lärmimmissionen führte, leitete die Luftwaffe ein Sa­nie­rungs­ver­fahren im Hinblick auf die Gewährung von Erleichterungen nach Art. 14 der Lärmschutz-Verordnung vom 15. Dezember 1986 (LSV, SR 814.41) ein. Da sich jedoch die Flugbewegungen wesentlich anders ent­wickel­ten als angenommen, hob das VBS die Sanierungsverfügung (samt Ge­wäh­rung von Erleichterungen) vom 20. November 2000 auf und ord­nete am 11. März 2002 an, die Luftwaffe habe auch unter Berücksichti­gung der durch die Armeereform XXI bedingten Änderungen einen neuen LBK ein­zu­reichen.</w:t>
      </w:r>
    </w:p>
    <w:p>
      <w:r>
        <w:rPr>
          <w:b/>
        </w:rPr>
        <w:t>E. 3.3</w:t>
      </w:r>
    </w:p>
    <w:p>
      <w:r>
        <w:t>Mit der Einführung der Armee XXI und der Reduktion der Anzahl Militär­flugplätze wurde eine Neuverteilung der Militärluftfahrzeuge auf die ver­bleibenden Flugplätze nötig. Der Bundesrat genehmigte am 1. Juni 2005 das entsprechende Stationierungskonzept 2005. Dieses sieht wie be­reits erwähnt unter an­derem vor, dass die Fliegerstaffel 11 mit F/A-18 Kampf­flugzeugen auf den 1. Januar 2006 von Dübendorf nach Meiringen ver­legt wird.</w:t>
      </w:r>
    </w:p>
    <w:p>
      <w:r>
        <w:rPr>
          <w:b/>
        </w:rPr>
        <w:t>E. 3.4</w:t>
      </w:r>
    </w:p>
    <w:p>
      <w:r>
        <w:t>Als Folge des neuen Stationierungskonzepts sollte der Sachplan Militär angepasst werden. Die neuen Lärmberechnungen flossen in den Entwurf des Objektblatts ein. Eine öffentliche Mitwirkung erfolgte 2007. Ange­sichts erheblicher Vorbehalte in der Öffentlichkeit und weil der Entscheid zur Beschaffung eines Teilersatzes für die Kampfflugzeuge des Typs Tiger F-5 ausstand, und damit die künftige Belegung des Flugplatzes Meiringen un­klar war, konnte der geänderte Sachplan und auch das Objektblatt Flug­platz Meiringen noch nicht dem Bundesrat zur Genehmigung unterbrei­tet werden.</w:t>
      </w:r>
    </w:p>
    <w:p>
      <w:r>
        <w:rPr>
          <w:b/>
        </w:rPr>
        <w:t>E. 3.5</w:t>
      </w:r>
    </w:p>
    <w:p>
      <w:r>
        <w:t>Die Beurteilung der Umweltauswirkungen bei Änderungen einer beste­hen­den, UVB-pflichtigen Anlage erfolgt unter anderem nach den Grund­sätzen des Bundesgesetzes über den Umweltschutz vom 7. Ok­to­ber 1983 (USG, SR 814.01) und der LSV; so bestimmt namentlich Art. 18 Abs. 1 USG, dass eine sanierungsbedürftige Anlage nur umgebaut oder er­weitert werden darf, wenn sie gleichzeitig saniert wird. Die Neustationie­rung auf dem Militärflugplatz Meirin­gen wurde vom VBS als wesentliche Änderung einer bestehenden Anlage im Sinn von Art. 2 Abs. 1 UVPV qua­li­fiziert. Diese Betriebsänderung sei UVP-pflichtig und in einem militäri­schen Plangenehmigungsverfahren zu bewilligen (UVB S. 5 und 11). Im Hin­blick darauf wurde in Zusammenar­beit mit dem BAFU der UVB 2007 aus­gearbeitet. Eine Plangenehmigung der durch das Stationierungs­kon­zept 2005 er­folgten Betriebsänderung respektive die zugrunde lie­gende Sach­planänderung ist offenbar noch nicht erfolgt; der Flugbetrieb auf dem Flug­platz Meiringen wird jedoch bereits gestützt auf das Kon­zept 2005 be­trieben. Das VBS stellt sich hierbei auf folgenden Standpunkt: Sobald Klar­heit über die künftige Nutzung des Flugplatzes Meiringen herrscht, soll der UVB überarbeitet werden und die Luftwaffe ein neu­es Gesuch um Ge­währung von Erleichterungen stellen. Nach Ansicht des VBS läuft damit nach wie vor ein Lärmsanierungsverfahren, das bis spätes­tens Ende Juli 2020 abgeschlossen sein muss (vgl. Art. 17 Abs. 6 Bst. a LSV).</w:t>
      </w:r>
    </w:p>
    <w:p>
      <w:r>
        <w:rPr>
          <w:b/>
        </w:rPr>
        <w:t>E. 3.6</w:t>
      </w:r>
    </w:p>
    <w:p>
      <w:r>
        <w:t>Vom 22. August 2011 bis zum 21. Oktober 2011 findet die öffentliche Mit­wirkung zum neuen Objektblatt des Sachplans statt. Das VBS rechnet da­mit, dass das Plangenehmigungsverfahren frühestens im Verlauf der zwei­ten Hälfte des Jahres 2012 eingeleitet werden kann.</w:t>
      </w:r>
    </w:p>
    <w:p>
      <w:r>
        <w:rPr>
          <w:b/>
        </w:rPr>
        <w:t>E. 4</w:t>
      </w:r>
    </w:p>
    <w:p>
      <w:r>
        <w:t>Die Beschwerdeführenden beantragten die Feststellung der Widerrechtlich­keit des Flugbetriebs. Fraglich ist, ob die Vorinstanz zu Recht nicht auf die­ses Begehren nach Art. 25a VwVG eingetre­ten ist: Wer ein schutzwürdi­ges Interesse hat, kann nach dieser Bestim­mung - sofern sich eine Hand­lung auf öffentliches Recht des Bundes stützt und Rechte und Pflich­ten berührt - von der zuständigen Behörde ver­langen, dass sie wi­der­rechtliche Handlungen unterlässt, einstellt oder wi­der­ruft (Abs. 1 Bst. a), die Folgen widerrechtlicher Handlungen beseitigt (Abs. 1 Bst. b) oder die Widerrechtlichkeit von Handlungen feststellt (Abs. 1 Bst. c). Vorlie­gend geht es allein um eine Feststellung der Widerrechtlichkeit gemäss Art. 25a Abs. 1 Bst. c VwVG; die Beschwerdeführenden stellen keine Anträ­ge gemäss Art. 25a Abs. 1 Bst. a oder b VwVG, namentlich beantragen sie nicht, den Flugbetrieb einzustellen.</w:t>
      </w:r>
    </w:p>
    <w:p>
      <w:r>
        <w:rPr>
          <w:b/>
        </w:rPr>
        <w:t>E. 4.1</w:t>
      </w:r>
    </w:p>
    <w:p>
      <w:r>
        <w:t>Der Begriff der "Handlung" respektive des "Realakts" im Sinn von Art. 25a VwVG wird weit verstanden. Er umfasst eine Vielzahl von Erschei­nungsformen des tatsächlichen Verwaltungshandelns, denen gemein­sam ist, dass keine formelle Verfügung erlassen wurde (vgl. Marian­ne Tschopp-Christen, Rechtsschutz gegenüber Realakten des Bundes [Ar­tikel 25a VwVG], Diss. Zürich, Zürich/Basel/Genf 2009, S. 22 ff.; Isa­bel­le Häner, in: Bernhard Waldmann/Phi­lip­pe Weissen­ber­ger [Hrsg.], Pra­xis­kom­men­tar zum Bundesgesetz über das Verwaltungs­verfahren, Zü­rich/Ba­sel/Genf 2009, Art. 25a Rz. 6 ff.; Beatrice Weber-Dürler, in: Chris­toph Auer/Markus Müller/Ben­jamin Schindler [Hrsg.], Kommentar zum Bundesgesetz über das Ver­waltungsverfahren [VwVG], Zürich/St. Gal­len 2008, Art. 25a Rz. 6 ff.; Müller, a.a.O., S. 317 f.). Die Vorinstanz geht richtigerweise davon aus, dass es sich bei den Flugbewegun­gen um verfügungsfreie Real­ak­te handelt.</w:t>
      </w:r>
    </w:p>
    <w:p>
      <w:r>
        <w:rPr>
          <w:b/>
        </w:rPr>
        <w:t>E. 4.2</w:t>
      </w:r>
    </w:p>
    <w:p>
      <w:r>
        <w:t>Weiter ist zu Recht unumstritten, dass sich die Flugbewegungen auf öf­fentliches Recht des Bundes stützen (vgl. Art. 57 f. der Bundesverfassung der Schweizerischen Eidgenossenschaft vom 18. April 1999 [BV, SR 101] und dass es sich beim VBS um die zuständige Behörde für die Beurtei­lung von Handlungen der Luftwaffe handelt.</w:t>
      </w:r>
    </w:p>
    <w:p>
      <w:r>
        <w:rPr>
          <w:b/>
        </w:rPr>
        <w:t>E. 4.3</w:t>
      </w:r>
    </w:p>
    <w:p>
      <w:r>
        <w:t>Zur Tragweite des Tatbestandselements, dass Rechte und Pflichten be­rührt sein müssen, gibt es in der Lehre unterschiedliche Ansichten. Die­se stimmen aber dahingehend überein, dass sie dieses Tatbestandselement jedenfalls als erfüllt ansehen, so­weit grundrechtlich geschützte Posi­tionen berührt sind (vgl. Tschopp-Chris­ten, a.a.O., S. 109 ff.; Häner, a.a.O., Art. 25a Rz. 19; Weber-Dürler, a.a.O., Art. 25a VwVG Rz. 19 ff.; Mül­ler, a.a.O., S. 350 ff.). Vorliegend legt die Vorinstanz überzeugend dar, dass die Flugbewegungen die Gesundheit und Integrität einer Person ge­fähr­den könnten, weshalb mit Art. 10 Abs. 2 BV ein Grundrecht tangiert und die­se Voraussetzung erfüllt ist.</w:t>
      </w:r>
    </w:p>
    <w:p>
      <w:r>
        <w:rPr>
          <w:b/>
        </w:rPr>
        <w:t>E. 4.4</w:t>
      </w:r>
    </w:p>
    <w:p>
      <w:r>
        <w:t>Näher einzugehen ist auf die strittige Frage, ob ein schutzwürdiges In­teresse an einer Feststellungsverfügung besteht.</w:t>
      </w:r>
    </w:p>
    <w:p>
      <w:r>
        <w:rPr>
          <w:b/>
        </w:rPr>
        <w:t>E. 4.4.1</w:t>
      </w:r>
    </w:p>
    <w:p>
      <w:r>
        <w:t>Das "schutzwürdige Interesse" im Sinn von Art. 25a VwVG ist grund­sätzlich gleich zu verstehen wie in den anderen Artikeln des VwVG, na­mentlich wie in Art. 48 Abs. 1 Bst. c VwVG. Verlangt ist somit ein Son­der­nach­teil sowie ein Inter­esse rechtlicher oder tatsächlicher Natur, das ak­tuell und praktisch sein muss (vgl. Tschopp-Chris­ten, a.a.O., S. 125, 128 f.; Häner, a.a.O., Art. 25a Rz. 34; Weber-Dürler, a.a.O., Art. 25a VwVG Rz. 27 ff.; Müller, a.a.O., S. 347 f.). Zu berücksichtigen ist dabei, dass sich bei Begeh­ren um Fest­stellung der Wi­der­recht­lich­keit von Handlun­gen gemäss Art. 25a Abs. 1 Bst. c VwVG Eigenheiten bezüglich der Ak­tualität und der praktischen Be­deutung des In­ter­esses ergeben können, weil diese Begehren im Unter­schied zu Art. 25a Abs. 1 Bst. a und b VwVG nicht auf eine Än­derung der künftigen Ver­hältnisse hinwirken (vgl. Tschopp-Chris­ten, a.a.O., S. 126 f., 129 ff.; Häner, a.a.O., Art. 25a Rz. 34; Weber-Dürler, a.a.O., Art. 25a VwVG Rz. 27 ff.). Fer­ner ist zu be­achten, dass das Begehren um eine Verfügung über Real­akte subsidiär ist, also nur dann von einem schutzwürdigen Inter­esse aus­zugehen ist, wenn kein anderes Rechtsmittel zur Verfügung steht, respek­tive wenn es un­zumutbar wäre, bis zum Erlass einer anfecht­baren Ver­fügung zuzuwarten (Urteil des Bundesgerichts vom 22. April 2010 8C_699/2009 E. 4.3; Tschopp-Chris­ten, a.a.O., S. 131 ff.; We­ber-Dür­ler, a.a.O., Art. 25a VwVG Rz. 31).</w:t>
      </w:r>
    </w:p>
    <w:p>
      <w:r>
        <w:rPr>
          <w:b/>
        </w:rPr>
        <w:t>E. 4.4.2</w:t>
      </w:r>
    </w:p>
    <w:p>
      <w:r>
        <w:t>Die Vorinstanz geht davon aus, dass es am schutzwürdigen Interes­se der Beschwerdeführenden fehle. In ihrer Argumentation unterschei­det sie hierbei zwischen Flugbewegungen, die in direktem Zusammenhang zum Flugplatz stehen und solchen, die im gesamten Trainingsraum in einer Höhe von 3000 Meter über Meer statt­finden: Bezüglich der direkt im Zusammenhang mit dem Flugplatz stehenden Flug­bewegungen fehle es an einem schutzwürdigen Interesse, weil das lau­fende Lärmsanierungsverfahren für den Flugplatz eine öffentliche Aufla­ge des Erleichterungsgesuchs beinhalte und es durch eine anfechtbare Ver­fügung abgeschlossen werde. Es sei deshalb nach wie vor möglich, im Verlauf des Verfahrens Einsprache zu erheben und die abschliessenden Verfügungen anzufechten. Es bestehe somit kein Raum für subsidiäre Rechts­behelfe nach Art. 25a VwVG. Hingegen seien die Flugbewegungen im gesamten Trainingsraum nicht Ge­genstand des Lärmsanierungsverfahrens und das Rechtsbegehren nach Art. 25a VwVG stehe grundsätzlich offen. Voraus­gesetzt sei aber eine Betroffenheit von genügender Intensität. Daran fehle es vorliegend, da die fliegerischen Aktivitäten grundsätzlich auf über 3000 Metern über Meer statt­fänden, also in erheblicher Distanz zu den Ge­suchstellern, und die Lärm­belastung aus dem Flugplatzbetrieb objektiv gesehen mit Sicher­heit grös­ser sei. Aufgrund des Lärmbelastungskatas­ters vom 17. Ok­to­ber 1997 sowie der Neuberechnung der Lärmbelastung für die Mit­wir­kung zum Sachplan Militär von 2007 ergebe sich, dass die Lärmbelas­tung deut­lich unterhalb von 55 dB(A) liege. Diese Werte erreich­ten nicht ein­mal den Immissionsgrenzwert der Empfindlichkeitsstufe I nach An­hang 8 LSV; die Lärmimmissionen aus der Nutzung des Trainings­raums dürf­ten noch erheblich geringer ausfallen, weshalb nicht von einer ge­nü­gen­den In­tensität der Betroffenheit gesprochen werden könne. Be­tref­fend die Schad­stoffimmissionen könne davon ausgegangen wer­den, dass der Ein­fluss des Flugplatzes einen grösseren Teil zur lokalen und re­gio­nalen Be­las­tung beitrage als die Aktivitäten im Trainingsraum. Auf­grund der gros­sen Distanz würden sich diese kaum auswirken. Aus dem Um­welt­ver­träg­lich­keitsbericht gehe hervor, dass die Emissionen aus dem Be­trieb des Flug­platzes nicht zu Überschreitungen der massgebenden Grenz­wer­te ge­mäss der Luftreinhalte-Verordnung vom 16. De­zem­ber 1985 (LRV, SR 814.318.142.1) führten. Somit sei auch bezüglich die­ses Punk­tes keine ge­nügende Intensität der Betroffenheit und infolgedessen kein schutz­wür­di­ges Interesse ersichtlich.</w:t>
      </w:r>
    </w:p>
    <w:p>
      <w:r>
        <w:rPr>
          <w:b/>
        </w:rPr>
        <w:t>E. 4.4.3</w:t>
      </w:r>
    </w:p>
    <w:p>
      <w:r>
        <w:t>Die Beschwerdeführenden bringen zum schutzwürdigen Interesse vor, die Auslegung von Art. 25a VwVG durch die Vorinstanz sei nicht richtig. Insbeson­dere sei sich die Doktrin darin einig, dass sich die Frage der Sub­sidiarität im Falle des Art. 25a VwVG nicht stelle, da dieser eine andere Zielrichtung als Art. 5 VwVG habe. Zudem gehe es hier nicht um künfti­ge Flugbe­we­gungen, welche vom Sanierungsverfahren betroffen seien, son­dern um Flug­bewegungen von 2006-2010; das Argument, die Beschwer­deführenden könnten sich am laufenden Verfahren beteiligen, grei­fe deshalb nicht. Zur von der Vorinstanz vorgebrachten mangelnden In­tensität der Flugbewe­gungen im Trainingsraum Meiringen sei zu bemer­ken, dass gemäss Art. 25a VwVG eine minimale Eingriffswirkung genüge und keine besondere Betroffenheit verlangt werde.</w:t>
      </w:r>
    </w:p>
    <w:p>
      <w:r>
        <w:rPr>
          <w:b/>
        </w:rPr>
        <w:t>E. 4.4.4</w:t>
      </w:r>
    </w:p>
    <w:p>
      <w:r>
        <w:t>Im Folgenden ist darauf einzugehen, ob im vorliegenden Fall ein schutz­würdiges Interesse gegeben ist. Die Ausführungen der Vorinstanz zum fehlenden Sondernachteil hinsichtlich der Flugbewegungen im Trainingsraum überzeugen nicht: Soweit es um Beschwerden gegen Fluglärm geht, ist generell an­erkannt, dass ein sehr weiter Kreis von Betroffenen zur Beschwerde le­gi­timiert sein kann, ohne dass bereits eine Popularbeschwerde vorliegt (Ur­teile des Bundesver­waltungsgerichts A-6536/2010 vom 23. August 2011 E. 2; A-1899/2006 vom 11. Februar 2010 E. 2.3; A-1936/ 2006 vom 10. Dezember 2009 E. 3.1; A-1985/2006 vom 14. Februar 2008 E. 2.1). Kein ausschlaggeben­des Abgrenzungskriter­ium stellt die Über­schrei­tung von Lärmgrenzwerten dar (vgl. BGE 110 Ib 99 E. 1c und 124 II 293 E. 3b). Vorliegend ist davon aus­zugehen, dass grosse Teile der An­woh­ner, darunter auch die Beschwer­deführenden, die Flugbewegungen, selbst wenn diese in einer gros­sen Höhe stattfinden, akus­tisch wahrnehmen können so­wie durch die Schad­stoffe mehr belastet wer­den als Personen, die in grös­serer Entfernung vom Trai­nings­raum leben. Dies gilt umso mehr für die vom Flugplatz aus­gehen­den Flugbewegun­gen, weshalb bezüglich bei­der Aspekte ein Son­dernachteil vor­liegt. Ein rechtliches oder tatsächliches Interesse an einer die Widerrecht­lich­keit feststellenden Verfügung kann zum einen in einer "moralischen Kom­pen­sation" oder allenfalls in einer Präventivwirkung bestehen (Mül­ler, a.a.O., S. 359). Vorliegend ist den Beschwer­de­führenden jedenfalls ein In­teresse bezüglich der Flugzeugbewegungen im Luftraum zuzugestehen. Mit ihrem Begehren können sie erreichen, dass diese überprüft werden. Auch wenn sie grundsätzlich lediglich die Überprüfung eines in der Ver­gangenheit liegenden Zeitraums verlangen, so ist dies den­noch auch für die Zukunft von Bedeutung, da präventiv eine Änderung bewirkt werden könnte. Weil die Flugbe­wegungen im Trainingsraum bis anhin nicht in ei­nem lau­fenden Verfah­ren beurteilt werden, stellt sich die Frage der Sub­si­diarität nicht, und es besteht ein schutzwürdiges Interesse an der Überprü­fung der Rechtmässigkeit der Flugbewegungen im Trainingsraum. Die Situation bezüglich des direkt mit dem Flugplatz verbundenen Flugbe­triebs stellt sich demgegenüber anders dar. Seit mehreren Jahren ist ein Verfah­ren im Gang, in dem überprüft wird, in welchem Rahmen der Flug­be­trieb aufrecht erhalten wer­den soll, und das mit einer anfechtbaren Ver­fügung abgeschlossen werden wird. Zwar dauert dieses Verfahren schon re­lativ lange an, da die zu­ständigen Behörden zunächst wichtige po­li­ti­sche Ent­scheide abwarteten. Offen­sichtlich ist ihnen aber bewusst, dass der Betrieb auf die Vereinbarkeit mit dem gel­ten­den Recht zu überprüfen und zunächst ein neues Objektblatt als Grund­la­ge zu schaffen ist, bevor die weite­ren Verfahrensschritte eingeleitet werden. Mit einer Feststellungsverfügung über den bisheri­gen Betrieb kann so­mit weder erreicht werden, dass ein Ver­fahren an­ge­stossen wird, noch ist ein Interesse an einer "mora­lischen Kom­pensation" ersichtlich, da die er­forderlichen Schritte zur Klä­rung der Rechts­lage bereits eingeleitet wor­den waren, als die Beschwer­de­füh­ren­den ihre Beschwerde erhoben. Weil die Be­schwer­de­führen­den sodann kei­ne Begehren mit unmittelbaren prak­tischen Folgen (wie bei­spiels­weise ein Begehren um die Einstellung des Flug­betriebs) stellen, ist es ihnen zudem zumutbar, das Er­ge­hen einer anfecht­baren Verfügung abzuwarten. Es be­steht somit kein schutz­wür­diges In­ter­esse an einer Feststellungsverfügung über die Rechts­kon­for­mität des Flug­platzbetriebs.</w:t>
      </w:r>
    </w:p>
    <w:p>
      <w:r>
        <w:rPr>
          <w:b/>
        </w:rPr>
        <w:t>E. 4.4.5</w:t>
      </w:r>
    </w:p>
    <w:p>
      <w:r>
        <w:t>Zusammenfassend kann somit festgehalten werden, dass ein schutz­würdiges Interesse an der Überprüfung der Flugbewegungen im Trai­ningsraum besteht, nicht aber an der Überprüfung des Flugplatzbetriebs.</w:t>
      </w:r>
    </w:p>
    <w:p>
      <w:r>
        <w:rPr>
          <w:b/>
        </w:rPr>
        <w:t>E. 4.5</w:t>
      </w:r>
    </w:p>
    <w:p>
      <w:r>
        <w:t>Die Vorinstanz ist somit zu Unrecht nicht auf das Feststellungsbegehren eingetreten, soweit der Betrieb im Trainingsraum betroffen ist. Bezüglich des Flugplatzbetriebs ist sie zu Recht nicht darauf eingetreten. Die Be­schwer­de ist daher - soweit darauf einzutreten ist (vgl. Er­wä­gung 1.4) - teil­weise gutzuheissen und die Sache zur materiellen Beur­tei­lung an die Vor­instanz zurückzuweisen.</w:t>
      </w:r>
    </w:p>
    <w:p>
      <w:r>
        <w:rPr>
          <w:b/>
        </w:rPr>
        <w:t>E. 5</w:t>
      </w:r>
    </w:p>
    <w:p>
      <w:r>
        <w:t>Vorliegend hat die Vorinstanz trotz teilweisem Unterliegen keine Verfahrens­kosten zu tragen (Art. 63 Abs. 2 VwVG). Den teilweise obsiegenden Be­schwerdeführenden ist die Hälfte des Kostenvorschusses von Fr. 1'500.- zurückzuerstatten, also Fr. 750.-. Gemäss Art. 64 Abs. 1 VwVG kann einer teilweise obsiegenden Partei von Amtes wegen oder auf Begehren für ihr erwachsene notwendige und ver­hältnismässig hohe Kosten eine Parteientschädigung zugesprochen wer­den. Die Beschwerdeführenden sind anwaltlich vertreten; eine Kosten­note reichten sie nicht ein. Die Parteientschädigung wird somit ausgehend von einem hälftigen Obsiegen aufgrund der Akten (Art. 14 Abs. 2 des Reglements vom 21. Februar 2008 über die Kosten und Entschädigun­gen vor dem Bundesverwaltungsgericht [VGKE, SR 173.320.2]) auf Fr. 1'500.- (inklusive Auslagen und Mehr­wertsteuer) festgesetzt.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