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A-1010/2011 vom 17. Oktober 2011</w:t>
      </w:r>
    </w:p>
    <w:p>
      <w:r>
        <w:t>Bundesverwaltungsgericht, 2011-10-17, DE</w:t>
      </w:r>
    </w:p>
    <w:p>
      <w:r>
        <w:rPr>
          <w:b/>
        </w:rPr>
        <w:t xml:space="preserve">Quelle: </w:t>
      </w:r>
      <w:r>
        <w:t>https://mcp.opencaselaw.ch/entscheid/bvger_A-1010_2011</w:t>
      </w:r>
    </w:p>
    <w:p>
      <w:r>
        <w:t>FR: TAF A-1010/2011 du 17 octobre 2011</w:t>
      </w:r>
    </w:p>
    <w:p>
      <w:r>
        <w:t>IT: TAF A-1010/2011 del 17 ottobre 2011</w:t>
      </w:r>
    </w:p>
    <w:p>
      <w:pPr>
        <w:pStyle w:val="Heading2"/>
      </w:pPr>
      <w:r>
        <w:t>Regeste</w:t>
      </w:r>
    </w:p>
    <w:p>
      <w:r>
        <w:t>Staatshaftung (Bund)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Im Bereich der Staatshaftung liegt keine Ausnahme gemäss Art. 32 VGG vor. Das EFD gehört zu den Behörden nach Art. 33 VGG und ist eine Vorinstanz des Bundesverwaltungsgerichts. Das Bundesverwaltungsgericht ist daher für die Beurteilung der vorliegenden Beschwerde zuständig. Dies wird auch in Art. 2 Abs. 1 und 3 der Verordnung vom 30. Dezember 1958 zum Verantwortlichkeitsgesetz (SR 170.321) i.V.m. Art. 10 Abs. 1 VG festgehalten.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1 und der Beschwerdeführer 2 sind als Adressaten der angefochtenen Verfügung, mit welcher ihr Schadenersatz- und Genugtuungsbegehren abgewiesen wurde, soweit überhaupt darauf eingetreten wurde, zur Beschwerde legitimiert.</w:t>
      </w:r>
    </w:p>
    <w:p>
      <w:r>
        <w:rPr>
          <w:b/>
        </w:rPr>
        <w:t>E. 1.3</w:t>
      </w:r>
    </w:p>
    <w:p>
      <w:r>
        <w:t>Auf die frist- und formgerecht eingereichte Beschwerde (vgl. Art. 50 und 52 VwVG) ist daher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(vgl. Art. 49 VwVG).</w:t>
      </w:r>
    </w:p>
    <w:p>
      <w:r>
        <w:rPr>
          <w:b/>
        </w:rPr>
        <w:t>E. 3</w:t>
      </w:r>
    </w:p>
    <w:p>
      <w:r>
        <w:t>Die Beschwerdeführerin 1 hat im vorinstanzlichen Verfahren einerseits Ersatz für die eingezogenen Spielautomaten und Barwerte und andererseits Ersatz weiteren Schadens verlangt. In ihrer Beschwerde stellt sie den Eventualantrag, alle Geräte und Vermögenswerte der Telvi AG seien herauszugeben.</w:t>
      </w:r>
    </w:p>
    <w:p>
      <w:r>
        <w:rPr>
          <w:b/>
        </w:rPr>
        <w:t>E. 3.1</w:t>
      </w:r>
    </w:p>
    <w:p>
      <w:r>
        <w:t>In seinem Urteil vom 21. Oktober 2005 verfügte das Obergericht des Kantons Zürich die Einziehung der beschlagnahmten Spielautomaten und Barwerte gegenüber der Telvi AG. Auf die von der Regedit GmbH dagegen geführte Nichtigkeitsbeschwerde trat das Bundesgericht nicht ein, wodurch das Urteil des Obergerichts des Kantons Zürich betreffend die Einziehung in Rechtskraft erwuchs. Eine rechtskräftige Verfügung kann gemäss Art. 12 VG nicht durch ein später angehobenes Schadenersatz- oder Verantwortlichkeitsverfahren auf ihre Rechtmässigkeit überprüft werden (vgl. BGE 126 I 144 E. 2a, 119 Ib 208 E. 3c; Urteile des Bundesverwaltungsgerichts A-1794/2007 vom 7. Oktober 2010 E. 2.3.3 und A 5748/2008 vom 9. November 2009 E. 1.3.1). Die eingezogenen Vermögenswerte können daher nicht mehr herausverlangt werden.</w:t>
      </w:r>
    </w:p>
    <w:p>
      <w:r>
        <w:rPr>
          <w:b/>
        </w:rPr>
        <w:t>E. 3.2</w:t>
      </w:r>
    </w:p>
    <w:p>
      <w:r>
        <w:t>Ersatz für Schaden, der einem Dritten aus rechtmässiger Beschlag­nahme erwächst, kann gestützt auf Art. 99 Abs. 2 i.V.m. Art. 100 Abs. 2 VStrR innerhalb eines Jahres seit der Rückgabe des beschlagnahmten Gegenstands oder der Aushändigung des Verwertungserlöses geltend gemacht werden. Es ist höchst fraglich, ob auch Schadenersatz gestützt auf Art. 99 Abs. 2 i.V.m. Art. 100 Abs. 2 VStrR verlangt werden kann, wenn weder die beschlagnahmten Gegenstände herausgegeben, noch ein Verwertungserlös ausgehändigt, sondern die Gegenstände zur Vernichtung eingezogen werden. Diese Frage braucht hier jedoch nicht beurteilt zu werden, zumal die einjährige Frist zur Geltendmachung spätestens mit Eintritt der Rechtskraft des Einziehungsentscheids vom 21. Okto­ber 2005 am 29. März 2006 (Datum Nichteintretensentscheid des Bundesgerichts gegenüber der Regedit GmbH) zu laufen begonnen hatte und damit im Zeitpunkt der Gesuchseinreichung im Februar 2010 ohnehin bereits verwirkt war.</w:t>
      </w:r>
    </w:p>
    <w:p>
      <w:r>
        <w:rPr>
          <w:b/>
        </w:rPr>
        <w:t>E. 3.3</w:t>
      </w:r>
    </w:p>
    <w:p>
      <w:r>
        <w:t>Gleiches gilt für den Fall, dass eine Entschädigung gestützt auf das Verantwortlichkeitsgesetz geltend gemacht wird. Denn auch Art. 20 VG sieht eine einjährige Verwirkungsfrist vor. Diese beginnt zu laufen, wenn der Geschädigte Kenntnis des Schadens hat. Kenntnis hat, wer die schädliche Auswirkung der unerlaubten Handlung so weit kennt, dass er in der Lage ist, für alle Schadensposten auf dem Prozessweg Ersatz zu verlangen. Er muss einerseits den Schaden und andererseits die Person des Ersatzpflichtigen kennen. Betreffend die Kenntnis der Höhe des Schadens gilt, dass die Frist zu laufen beginnt, wenn der Geschädigte die wichtigen Elemente seines Schadens kennt, die ihm erlauben, dessen wirklichen Umfang grössenordnungsmässig zu bestimmen. Dagegen braucht er nicht ziffernmässig zu wissen, wie hoch der Schaden ist (vgl. BGE 114 II 253 E. 2a). Daraus, dass die Vorinstanz das Verfahren bis zum rechtskräftigen Abschluss des Verwaltungsstrafverfahrens gegen den Beschwerdeführer 2 sistierte, kann die Beschwerdeführerin 1 nichts zu ihren Gunsten ableiten. Vielmehr zeigt dies auf, dass ein Verfahren unter Umständen anhängig gemacht werden muss, bevor alle Einzelheiten klar sind, die den Ausgang des Verfahrens beeinflussen können. Die Instruktionsbehörde hat immer noch die Möglichkeit, das hängige Verfahren zu sistieren, bis ein allfälliger Schadenersatz genau beziffert werden kann. Auch die Verwirkungsfrist nach Art. 20 VG begann betreffend die eingezogenen Gegenstände und Barwerte somit spätestens am 29. März 2006 zu laufen und war daher im Moment der Gesuchseinreichung bereits verwirkt. Abgesehen davon wäre eine Entschädigung gestützt auf das Verantwortlichkeitsgesetz ohnehin nicht in Frage gekommen: Einerseits ist das VG gegenüber Haftpflichtbestimmungen anderer Erlasse aufgrund von Art. 3 Abs. 2 VG subsidiär (vgl. BGE 115 II 237 E. 2, 129 V 394 E. 4). Andererseits ist eine Entschädigung nur dann geschuldet, wenn ein Schaden widerrechtlich zugefügt wurde. Dies ist hier aufgrund der rechtskräftigen Einziehungsverfügung zu verneinen. Dem Einwand der Beschwerdeführerin 1, gegen sie sei weder ein eidgenössisches noch ein kantonales Verfahren eröffnet worden, weshalb ihr nicht die notwendigen Verfahrensrechte eingeräumt worden seien, ist zu entgegnen, dass die Einziehung im Rahmen des Verwaltungsstrafverfahrens gegenüber der Telvi AG als Verfügungsadressatin erfolgte. Sie wurde ihr mittels Publikation im Amtsblatt des Kantons Zürich eröffnet. Die Telvi AG hätte folglich in eigenem Namen ein Rechtsmittel dagegen ergreifen können und müssen. Dazu hätte die Telvi AG wieder ins Handelsregister eingetragen werden und eine zeichnungsberechtigte Person bezeichnet werden müssen. Daher spielt es auch keine Rolle, ob der Beschwerdeführer 2 mangels Zahlung des Kaufpreises für die Aktien durch die Regedit GmbH Eigentümer der Aktien geblieben ist oder nicht. Die Telvi AG als juristische Person hätte ihre Forderungen ohnehin in eigenem Namen geltend machen müssen.</w:t>
      </w:r>
    </w:p>
    <w:p>
      <w:r>
        <w:rPr>
          <w:b/>
        </w:rPr>
        <w:t>E. 3.4</w:t>
      </w:r>
    </w:p>
    <w:p>
      <w:r>
        <w:t>Schliesslich ist eine Entschädigungspflicht des Bundes für die nicht direkt aus der Einziehung resultierenden, von der Beschwerdeführerin 1 aufgeführten Schadensposten zu prüfen. Diesbezüglich ist wiederum zu klären, wann die sowohl in Art. 100 Abs. 2 VstrR als auch in Art. 20 VG vorgesehene einjährige Verwirkungsfrist zu laufen begann. Mit Löschung der Telvi AG im Handelsregister am 10. Juni 2003 war der Umfang des behaupteten Schadens schon bestimmbar, denn in diesem Zeitpunkt war klar, dass die Telvi AG kein Geschäft mit Spielautomaten mehr werde betreiben können. In diesem Moment war auch klar, dass die Telvi AG das "Verkaufsgeschäft Obstgarten", den "Spielbetrieb Obstgarten" und den "Spielbetrieb Kiwi Play" nicht mehr würde betreiben können. Auch der geltend gemachte "Ausfall des Geschäftserlöses" sowie die übrigen "Schadensposten" waren im Zeitpunkt der Löschung bestimmbar. Die einjährige Verwirkungsfrist zur Geltendmachung einer Entschädigung begann somit bereits am 10. Juni 2003 zu laufen. Selbst wenn man davon ausginge, dass der Umfang des behaupteten Schadens in jenem Moment noch nicht bestimmbar war, wäre er spätestens mit Eintritt der Rechtskraft der Einziehung der Spielautomaten und Barbeträge am 29. März 2006 bestimmbar gewesen. Spätestens in diesem Zeitpunkt war klar, dass die Automaten nicht mehr zurückgegeben werden und mit ihnen nicht wieder Spielsalons ausgestattet und neu oder weiter betrieben werden könnten. Die einjährige Frist war bei Einreichung des Schadenersatzbegehrens der Beschwerdeführerin 1 bei der Vorinstanz am 20. Februar 2010 somit verwirkt.</w:t>
      </w:r>
    </w:p>
    <w:p>
      <w:r>
        <w:rPr>
          <w:b/>
        </w:rPr>
        <w:t>E. 4.1</w:t>
      </w:r>
    </w:p>
    <w:p>
      <w:r>
        <w:t>Der Beschwerdeführer 2 machte im Rahmen des Verwaltungsstrafverfahrens gestützt auf Art. 99 VStrR adhäsionsweise Schadenersatz und Genugtuung geltend. Das Obergericht des Kantons Zürich sprach ihm mit Urteil vom 12. März 2010 eine Entschädigung für den Erwerbsausfall in der Höhe von Fr. 34'110.20 nebst Zins zu 5% seit dem 1. Januar 2003, Fr. 34'889.80 als Entschädigung für die Anwaltskosten sowie eine Genugtuung in der Höhe von Fr. 15'000.-- zu. Dieses Urteil ist in Rechtskraft erwachsen. Die Geltendmachung weiterer Schadenersatz- oder Genugtuungsforderungen in Zusammenhang mit dem Verwaltungsstrafverfahren gestützt auf das Verantwortlichkeitsgesetz ist gemäss Art. 3 Abs. 2 (vgl. BGE 115 II 237 E. 2, 129 V 394 E. 4) und Art. 12 VG ausgeschlossen.</w:t>
      </w:r>
    </w:p>
    <w:p>
      <w:r>
        <w:rPr>
          <w:b/>
        </w:rPr>
        <w:t>E. 4.2</w:t>
      </w:r>
    </w:p>
    <w:p>
      <w:r>
        <w:t>Betreffend den Schadenersatz den der Beschwerdeführer 2 für die Beschwerdeführerin 1 geltend macht, ist zu bemerken, dass die Telvi AG eine juristische Person ist. Sie hat eigene Rechtspersönlichkeit und muss daher ihre Rechte auch in eigenem Namen wahren. Sie war aufgrund der Vertretungsbeistandschaft bis zu ihrer Löschung handlungsfähig. Es hätten Gründe geltend gemacht werden können, die gegen eine Löschung sprachen. Von dieser Möglichkeit hat der Beschwerdeführer 2 keinen Gebrauch gemacht, obwohl er bereits damals davon ausging, dass die ESBK für den Untergang der Telvi AG verantwortlich sei. Er wusste zu jenem Zeitpunkt auch schon um den von ihm behaupteten Schaden. Weiter ist darauf hinzuweisen, dass wohl schon 2005 (und früher) ein Grund für die Wiedereintragung der Telvi AG bestanden hätte. Das Bezirksgericht Dielsdorf wies in seinem Urteil vom 22. November 2004 (vgl. pag. 00000281) denn auch bereits auf diese Möglichkeit hin. Sowohl die Regedit GmbH als auch der Beschwerdeführer 2 verzichteten damals jedoch darauf, die Wiedereintragung zu beantragen. Der Beschwerdeführer 2 war in keiner Phase des Verfahrens berechtigt, Forderungen der Beschwerdeführerin 1 in seinem Namen geltend zu machen. Diesbezüglich ist die Vorinstanz auf das Schadenersatzgesuch des Beschwerdeführers 2 somit zu Recht nicht eingetreten.</w:t>
      </w:r>
    </w:p>
    <w:p>
      <w:r>
        <w:rPr>
          <w:b/>
        </w:rPr>
        <w:t>E. 5</w:t>
      </w:r>
    </w:p>
    <w:p>
      <w:r>
        <w:t>Die vorinstanzlichen Verfahrenskosten von insgesamt Fr. 7'000.-- hat die Vorinstanz dem Beschwerdeführer 2 (Fr. 5'000.--) und der Beschwerdeführerin 1 (Fr. 2'000.--) auferlegt. Der Gesamtbetrag liegt im gesetzlichen Rahmen und dessen Höhe wurde damit begründet, dass mehrere Parteien am Verfahren beteiligt gewesen seien und das Verfahren einen hohen Verwaltungsaufwand verursacht habe. Die ungleiche Verteilung auf die beiden Parteien wurde damit begründet, das Verfahren des Beschwerdeführers 2 habe bedeutend mehr Aufwand verursacht als dasjenige der Beschwerdeführerin 1. Damit ist sowohl die Gesamthöhe als auch die Verteilung der vorinstanzlichen Verfahrenskosten hinreichend und nachvollziehbar begründet und nicht zu beanstanden.</w:t>
      </w:r>
    </w:p>
    <w:p>
      <w:r>
        <w:rPr>
          <w:b/>
        </w:rPr>
        <w:t>E. 6</w:t>
      </w:r>
    </w:p>
    <w:p>
      <w:r>
        <w:t>Die Beschwerden sind aufgrund der vorstehenden Erwägungen vollumfänglich abzuweisen.</w:t>
      </w:r>
    </w:p>
    <w:p>
      <w:r>
        <w:rPr>
          <w:b/>
        </w:rPr>
        <w:t>E. 7.1</w:t>
      </w:r>
    </w:p>
    <w:p>
      <w:r>
        <w:t>Es sind keine Verfahrenskosten zu erheben, da mit Zwischenverfügung vom 7. März 2011 in Anwendung von Art. 65 Abs. 1 VwVG die unentgeltliche Rechtspflege gewährt wurde.</w:t>
      </w:r>
    </w:p>
    <w:p>
      <w:r>
        <w:rPr>
          <w:b/>
        </w:rPr>
        <w:t>E. 7.2</w:t>
      </w:r>
    </w:p>
    <w:p>
      <w:r>
        <w:t>Den nicht anwaltlich vertretenen Beschwerdeführenden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