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A-1002/2016 vom 14. Oktober 2016</w:t>
      </w:r>
    </w:p>
    <w:p>
      <w:r>
        <w:t>Bundesverwaltungsgericht, 2016-10-14, DE</w:t>
      </w:r>
    </w:p>
    <w:p>
      <w:r>
        <w:rPr>
          <w:b/>
        </w:rPr>
        <w:t xml:space="preserve">Quelle: </w:t>
      </w:r>
      <w:r>
        <w:t>https://mcp.opencaselaw.ch/entscheid/bvger_A-1002_2016</w:t>
      </w:r>
    </w:p>
    <w:p>
      <w:r>
        <w:t>FR: TAF A-1002/2016 du 14 octobre 2016</w:t>
      </w:r>
    </w:p>
    <w:p>
      <w:r>
        <w:t>IT: TAF A-1002/2016 del 14 ottobre 2016</w:t>
      </w:r>
    </w:p>
    <w:p>
      <w:pPr>
        <w:pStyle w:val="Heading2"/>
      </w:pPr>
      <w:r>
        <w:t>Regeste</w:t>
      </w:r>
    </w:p>
    <w:p>
      <w:r>
        <w:t>Beitragsverfügung der Auffangeinrichtung</w:t>
      </w:r>
    </w:p>
    <w:p>
      <w:pPr>
        <w:pStyle w:val="Heading2"/>
      </w:pPr>
      <w:r>
        <w:t>Erwägungen</w:t>
      </w:r>
    </w:p>
    <w:p>
      <w:r>
        <w:rPr>
          <w:b/>
        </w:rPr>
        <w:t>E. 1</w:t>
      </w:r>
    </w:p>
    <w:p>
      <w:r>
        <w:t>Gemäss Art. 31 VGG beurteilt das Bundesverwaltungsgericht Beschwerden gegen Verfügungen nach Art. 5 VwVG, sofern in sachlicher Hinsicht keine Ausnahme nach Art. 32 VGG gegeben ist. Eine solche liegt im vorliegenden Fall nicht vor und die Vorinstanz ist eine Behörde im Sinne von Art. 33 VGG, zumal sie öffentlich-rechtliche Aufgaben des Bundes erfüllt (Art. 33 Bst. h VGG i.V.m. Art. 60 Abs. 2bis BVG). Die funktionelle und sachliche Zuständigkeit des Bundesverwaltungsgerichts zur Behandlung der vorliegenden Beschwerde ist zu bejahen.</w:t>
      </w:r>
    </w:p>
    <w:p>
      <w:r>
        <w:rPr>
          <w:b/>
        </w:rPr>
        <w:t>E. 1.1</w:t>
      </w:r>
    </w:p>
    <w:p>
      <w:r>
        <w:t>Zur Beschwerde ist legitimiert, wer vor der Vorinstanz am Verfahren teilgenommen oder keine Möglichkeit zur Teilnahme erhalten hat, durch die angefochtene Verfügung besonders berührt ist und ein schutzwürdiges Interesse an deren Aufhebung oder Änderung hat (Art. 48 Abs. 1 VwVG). B._______ ist - gemäss Handelsregisterauszug - sowohl einzelzeichnungsberechtigter Gesellschafter und Geschäftsführer der C._______ GmbH als auch der A._______ GmbH. Er hat vorliegend die Beschwerde zwar auf dem Briefpapier der erstgenannten Gesellschaft eingereicht, aus seinen weiteren Eingaben, insbesondere aus derjenigen vom 16. Juni 2016, geht jedoch zweifelsfrei hervor, dass er als Geschäftsführer Beschwerde für die A._______ GmbH (nachfolgend Beschwerdeführerin) erheben möchte (vgl. oben Sachverhalt Bst. H). Diese ist als materiell beschwerte Verfügungsadressatin zur Beschwerde legitimiert.</w:t>
      </w:r>
    </w:p>
    <w:p>
      <w:r>
        <w:rPr>
          <w:b/>
        </w:rPr>
        <w:t>E. 1.2.1</w:t>
      </w:r>
    </w:p>
    <w:p>
      <w:r>
        <w:t>Gemäss Art. 11 Abs. 1 VwVG kann sich die Partei, wenn sie nicht persönlich zu handeln hat, vertreten lassen. Hat jemand in einer Angelegenheit einen Vertreter bezeichnet, muss die Behörde ihre Verfügung durch Zustellung an diesen eröffnen (Art. 11 Abs. 3 VwVG; BGE 122 III 316 E. 4). Gemäss Art. 38 VwVG darf den Parteien aus mangelhafter Eröffnung kein Nachteil erwachsen. Erfolgt die Eröffnung einer Verfügung bei bekanntem Vertretungsverhältnis einzig an die vertretene Person anstatt an die bestellte Rechtsvertretung, ist sie mangelhaft. Unter dem Blickwinkel von Treu und Glauben wird die Rechtsmittelfrist frühestens im Zeitpunkt ausgelöst, in dem die Partei oder ihre Vertretung bei gebotener Sorgfalt vom Eröffnungsmangel Kenntnis haben konnte und musste (Felix Uhlmann/Alexandra Schilling-Schwank, in: Waldmann/Weissenberger [Hrsg.], Praxiskommentar Verwaltungsverfahrensgesetz, 2. Aufl. 2016, Art. 38 N. 12 mit Hinweis auf die Rechtsprechung).</w:t>
      </w:r>
    </w:p>
    <w:p>
      <w:r>
        <w:rPr>
          <w:b/>
        </w:rPr>
        <w:t>E. 1.2.2</w:t>
      </w:r>
    </w:p>
    <w:p>
      <w:r>
        <w:t>Vorliegend hat die Beschwerdeführerin mit Schreiben vom 19. November 2014 der Vorinstanz das Vertretungsverhältnis rechtsgenüglich angezeigt und eine entsprechende Vollmacht eingereicht ([...]). In der Folge hat die Vorinstanz ihre Antwort auf dieses Schreiben richtigerweise an die Vertreterin der Beschwerdeführerin gesandt ([...]). Das Schreiben der Beschwerdeführerin vom 10. April 2015 an die Vorinstanz erfolgte wiederum durch ihre Vertreterin ([...]). Am 8. Juni 2015 antwortete die Vorinstanz auf dieses Schreiben zuerst an die Beschwerdeführerin direkt, am nächsten Tag übermittelte sie das Schreiben auch an die Vertreterin. Dies erfolgte wohl aufgrund einer telefonischen Intervention derselben ([...]). Zu diesem Zeitpunkt war das Vertretungsverhältnis somit klar erstellt. Im Weiteren ergeben sich aus den Akten keine Hinweise, dass die Beschwerdeführerin der Vorinstanz nach dem letztgenannten Schreiben den Widerruf des Vertretungsverhältnisses angezeigt hätte. Der Versand der angefochtenen Verfügung an die Beschwerdeführerin statt an ihre Vertreterin stellt deshalb eine mangelhafte Eröffnung dar. Insofern ist es vorliegend nicht relevant, dass die Beschwerdeführerin an ihrem im Handelsregister aufgeführten Sitz grundsätzlich erreichbar sein müsste. Weil der Beschwerdeführerin aus einer mangelhaften Eröffnung keine Nachteile erwachsen dürfen, begann die Beschwerdefrist erst mit Kenntnis der angefochtenen Verfügung. Diese Kenntnis erhielt die Beschwerdeführerin durch die Zustellung der Verfügung mittels A Post an ihren Geschäftsführer B._______. Der Versand datiert vom 15. Januar 2016 ([...]), womit die Beschwerde vom 13. Februar 2016 rechtzeitig erfolgte. Aufgrund des soeben Gesagten muss auch nicht weiter untersucht werden, welche Auswirkungen das Umdatieren der angefochtenen Verfügung durch die Vorinstanz haben könnte. So wurde zuerst eine Verfügung mit dem Datum 9. Dezember 2015 ([...]) der Beschwerdeführerin (erfolglos) zugestellt, danach (wiederum erfolglos) eine Verfügung datiert vom 22. Dezember 2015 ([...]) und schliesslich (erfolgreich) abermals eine solche vom 9. Dezember 2015. Für das vorliegende Verfahren geht das Bundesverwaltungsgericht im Übrigen davon aus, dass die Vertreterin der Beschwerdeführerin nicht mehr bevollmächtigt ist, da sämtliche Eingaben direkt vom Geschäftsführer der Beschwerdeführerin unterzeichnet und eingereicht worden sind.</w:t>
      </w:r>
    </w:p>
    <w:p>
      <w:r>
        <w:rPr>
          <w:b/>
        </w:rPr>
        <w:t>E. 1.3.1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(vgl. BGE 136 II 457 E. 4.2, BGE 133 II 35 E. 2 und BGE 131 V 164 E. 2.1).</w:t>
      </w:r>
    </w:p>
    <w:p>
      <w:r>
        <w:rPr>
          <w:b/>
        </w:rPr>
        <w:t>E. 1.3.2</w:t>
      </w:r>
    </w:p>
    <w:p>
      <w:r>
        <w:t>Anfechtungsgegenstand ist vorliegend die Beitragsverfügung vom 9. Dezember 2015. Streitgegenstand kann demnach nur sein, was in dieser Verfügung geregelt wurde. Die Verfügung vom 22. Mai 2013 betreffend den per 1. Januar 2005 rückwirkenden Anschluss der Beschwerdeführerin an die Vorinstanz ist nicht Gegenstand des vorliegenden Verfahrens. Sie ist in Rechtskraft erwachsen. Soweit die Beschwerdeführerin die Aufhebung dieser Verfügung beantragt, ist auf die Beschwerde nicht einzutreten. Ansonsten ist auf die frist- und formgerecht eingereichte Beschwerde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49 VwVG).</w:t>
      </w:r>
    </w:p>
    <w:p>
      <w:r>
        <w:rPr>
          <w:b/>
        </w:rPr>
        <w:t>E. 1.5</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wobei den Parteien unter Umständen Mitwirkungspflichten obliegen (Art. 13 VwVG; JÉRÔME CANDRIAN, Introduction à la procédure administrative fédérale, 2013, N. 63 S. 44). Eine eigentliche Beweisführungslast trifft die Parteien dagegen - anders als im Zivilprozess - nicht (André Moser/Michael Beusch/Lorenz Kneubühler, Prozessieren vor dem Bundesverwaltungsgericht, 2. Aufl. 2013, Rz. 3.119 und 3.149). Demnach muss die entscheidende Behörde den Sachverhalt von sich aus abklären. Sie trägt die Beweisführungslast (sog. subjektive oder formelle Beweislast). Im Verfahren vor dem Bundesverwaltungsgericht gilt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wobei im Sozialversicherungsrecht der Beweisgrund der überwiegenden Wahrscheinlichkeit gilt (BGE 139 V 176 E. 5.3; Urteil des BGer 9C_205/2015 vom 20. Oktober 2015 E. 3.2.2; Moser/Beusch/Kneubühler, a.a.O., Rz. 3.140 und 3.142 mit Hinweis auf BGE 125 V 193 E. 2). Gelangt das Gericht nicht zu diesem Ergebnis, kommen die Beweislastregeln zur Anwendung. Dabei ist - in analoger Anwendung von Art. 8 ZGB - im Fall der Beweislosigkeit zuungunsten jener Partei zu urteilen, welche die Beweislast trägt (Urteil des Bundesverwaltungsgerichts A-1129/2016 vom 27. Juli 2016 E. 1.5.2 mit weiteren Hinweisen).</w:t>
      </w:r>
    </w:p>
    <w:p>
      <w:r>
        <w:rPr>
          <w:b/>
        </w:rPr>
        <w:t>E. 2.1</w:t>
      </w:r>
    </w:p>
    <w:p>
      <w:r>
        <w:t>Obligatorisch in der beruflichen Vorsorge zu versichern ist jeder Arbeitnehmer, der das 17. Altersjahr vollendet hat und bei einem Arbeitgeber mehr als den gesetzlichen Jahres-Mindestlohn gemäss Art. 2 Abs. 1 BVG in Verbindung mit Art. 5 BVV 2 erzielt und bei der Alters- und Hinterlassenenversicherung versichert ist (vgl. Art. 5 Abs. 1 BVG). Dieser Grenzbetrag wird vom Bundesrat gemäss Art. 9 BVG periodisch angepasst. Er betrug 2005/2006 Fr. 19'350.-, 2007/2008 Fr. 19'890.- und 2009/2010 Fr. 20'520.- (vgl. jeweils geltende Fassung von Art. 5 BVV 2). Massgebender Jahreslohn ist jener Lohn, den ein Arbeitnehmer bei ganzjähriger Beschäftigung erzielen würde (Art. 2 Abs. 2 BVG).</w:t>
      </w:r>
    </w:p>
    <w:p>
      <w:r>
        <w:rPr>
          <w:b/>
        </w:rPr>
        <w:t>E. 2.2</w:t>
      </w:r>
    </w:p>
    <w:p>
      <w:r>
        <w:t>Arbeitnehmende, die nebenberuflich tätig sind und bereits für eine hauptberufliche Erwerbstätigkeit obligatorisch versichert sind oder im Hauptberuf eine selbstständige Erwerbstätigkeit ausüben, unterstehen nach Art. 1j Abs. 1 Bst. c BVV 2 (bzw. in der Fassung gültig bis 31. Dezember 2005 Art. 1 Abs. 1 Bst. c BVV 2) nicht der obligatorischen Versicherung.</w:t>
      </w:r>
    </w:p>
    <w:p>
      <w:r>
        <w:rPr>
          <w:b/>
        </w:rPr>
        <w:t>E. 2.2.1</w:t>
      </w:r>
    </w:p>
    <w:p>
      <w:r>
        <w:t>Eine nebenberufliche Tätigkeit im Sinne von Art. 1j Abs. 1 Bst. c BVV 2 setzt eine parallel ausgeübte, hauptberufliche Erwerbstätigkeit voraus. Es soll damit nach Möglichkeit verhindert werden, dass Arbeitnehmer im Dienste mehrerer Arbeitgeber jedes Mal dem obligatorischen System unterstellt sind. Grundsätzlich unterstehen Arbeitnehmer, die durch verschiedene Arbeitsbeziehungen verpflichtet sind, dem obligatorischen System aufgrund ihrer Haupttätigkeit. Die Unterscheidung zwischen Haupt- und Nebentätigkeit ist nicht immer einfach. Es muss insbesondere den jeweiligen Umständen Rechnung getragen werden, wobei eine zeitlich überwiegende Beschäftigung bei einem Arbeitgeber eine Hauptbeschäftigung zu begründen vermag (Hans-Ulrich Stauffer, Berufliche Vorsorge, 2. Aufl., 2012, Rz. 589 ff.). Für die Unterscheidung zwischen Haupt- und Nebentätigkeit können weiter etwa folgende Kriterien herangezogen werden: die Dauer jedes Arbeitsverhältnisses, die Lohnhöhe, die Art der Tätigkeit, die Stabilität der Beschäftigung, die chronologische Reihenfolge bei der Ausübung der Erwerbstätigkeit und auch die persönliche Wertung des Versicherten. Die Bestimmung des Haupt- oder Nebencharakters einer Tätigkeit ist in erster Linie Sache der Vorsorgeeinrichtung (vgl. Jaques-André Schneider, in: Schneider/Geiser/Gächter, Handkommentar zum BVG und FZG, 2010, Art. 2 N. 48).</w:t>
      </w:r>
    </w:p>
    <w:p>
      <w:r>
        <w:rPr>
          <w:b/>
        </w:rPr>
        <w:t>E. 2.2.2</w:t>
      </w:r>
    </w:p>
    <w:p>
      <w:r>
        <w:t>Das Bundesgericht hat in seinem Urteil vom 18. Februar 2003 festgehalten, übe eine Arbeitnehmerin oder ein Arbeitnehmer parallel und auf Dauer zwei gleichwertige Erwerbstätigkeiten aus, seien diese nach der Rechtsprechung nicht in einen Haupt- und Nebenerwerb zu gliedern. In einem solchen Fall sei von einer mehrfachen Versicherungspflicht auszugehen (BGE 129 V 132 E. 3.4). Vorausgesetzt für eine mehrfache Versicherungspflicht wurde somit in erster Linie, dass gleichwertige Anstellungen gegeben sind und nicht eine eigentliche "Stammtätigkeit", welche durch andere bezüglich Umfang oder Dauer untergeordnete Beschäftigungen ergänzt wird. Gleichwertige Anstellungen können nach der bundesgerichtlichen Rechtsprechung nicht nur bei zwei Pensen zu 50% bestehen. Auch in einer Konstellation von drei Anstellungen können nebeneinander ausgeübte gleichwertige Erwerbstätigkeiten vorliegen, die zu einer mehrfachen Versicherungspflicht führen. In BGE 136 V 390 beurteilte das Bundesgericht drei nebeneinander ausgeübte unselbständige Erwerbstätigkeiten. Die betreffende Person war zu 50% als wissenschaftlicher Mitarbeiter bei einer Bundesbehörde angestellt und weitere 20% als Lehrbeauftragter an einer Universität sowie ca. 30% als ausserordentlicher Professor an einer weiteren Universität tätig. Das Bundesgericht qualifizierte diese Tätigkeiten als gleichwertig und demnach keine als nebenberufliche Tätigkeit im Sinn von Art. 1j Abs. 1 Bst. c BVV 2 (zum Ganzen auch: Urteil des BVGer C 5191/2013 vom 14. Dezember 2015 E. 8.8.2).</w:t>
      </w:r>
    </w:p>
    <w:p>
      <w:r>
        <w:rPr>
          <w:b/>
        </w:rPr>
        <w:t>E. 3</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Bundesgerichts 1C_277/2007 vom 30. Juni 2008 E. 2.2; BVGE 2012/21 E. 5.1; Urteil des Bundesverwaltungsgerichts A-1305/2012 vom 10. Oktober 2012 E. 1.4; Moser/Beusch/Kneubühler, a.a.O., Rz. 3.194).</w:t>
      </w:r>
    </w:p>
    <w:p>
      <w:r>
        <w:rPr>
          <w:b/>
        </w:rPr>
        <w:t>E. 4</w:t>
      </w:r>
    </w:p>
    <w:p>
      <w:r>
        <w:t>Im vorliegenden Fall waren bei der Beschwerdeführerin D._______ und B._______ beschäftigt. Strittig und zu klären ist, ob der Lohn aus den betreffenden Arbeitsverhältnissen in den Jahren 2005 bis 2007 (bezüglich D._______) und 2009 bis 2010 (bezüglich B._______) der BVG-Pflicht unterstellt ist. Dies wäre nicht der Fall, wenn es sich bei den entsprechenden Anstellungen um nebenberufliche Tätigkeiten im Sinn von Art. 1j Abs. 1 Bst. c BVV 2 handeln würde.</w:t>
      </w:r>
    </w:p>
    <w:p>
      <w:r>
        <w:rPr>
          <w:b/>
        </w:rPr>
        <w:t>E. 4.1.1</w:t>
      </w:r>
    </w:p>
    <w:p>
      <w:r>
        <w:t>Aus dem IK-Auszug der AHV ist ersichtlich, dass D._______ im Jahr 2005 erstmals Lohn von der Beschwerdeführerin bezog. Davor war er bei der E._______ AG tätig. Im Jahr 2005 war er neben der Anstellung für die Beschwerdeführerin ebenfalls bei der F._______ AG sowie bei der G._______ AG beschäftigt. Er erzielte dabei folgende Einkommen: Fr. 31'902.- (Beschwerdeführerin), Fr. 36'400.- (F._______ AG) und Fr. 33'220.- (G._______ AG). In den Jahren 2006 und 2007 war er neben seiner Tätigkeit für die Beschwerdeführerin nur noch bei der F._______ AG angestellt mit folgenden Einkommen: 2006 Fr. 34'402.- (Beschwerdeführerin) und Fr. 90'037.- (F._______ AG) sowie 2007 Fr. 8'993.- (Beschwerdeführerin für 3 Monate) und Fr. 101'472.- (F._______ AG).</w:t>
      </w:r>
    </w:p>
    <w:p>
      <w:r>
        <w:rPr>
          <w:b/>
        </w:rPr>
        <w:t>E. 4.1.2</w:t>
      </w:r>
    </w:p>
    <w:p>
      <w:r>
        <w:t>Bezüglich B._______ ergeben sich aus den Akten folgende Erwerbseinkommen für 2009: Fr. 27'600.- (Beschwerdeführerin) und Fr. 60'000.- (C._______ GmbH). Für 2010: Fr. 27'600.- (Beschwerdeführerin) und Fr. 50'000.- (C._______ GmbH). Ab 2011 bezog er nur noch Lohn von der C._______ GmbH.</w:t>
      </w:r>
    </w:p>
    <w:p>
      <w:r>
        <w:rPr>
          <w:b/>
        </w:rPr>
        <w:t>E. 4.2.1</w:t>
      </w:r>
    </w:p>
    <w:p>
      <w:r>
        <w:t>Für die Bestimmung des Haupt- oder Nebencharakters einer Tätigkeit ist neben der Dauer jedes Arbeitsverhältnisses und der Lohnhöhe insbesondere die Art der Tätigkeit und das Arbeitspensum von Bedeutung (E. 2.2.1). Mit Bezug auf D._______ ergeben sich aus den Akten keine Anhaltspunkte bezüglich der Art der ausgeübten Tätigkeiten. Im Weiteren sind auch die einzelnen Arbeitspensen unbekannt. Die Beschwerdeführerin legt dar, dass die für sie erbrachten Arbeiten von D._______ nicht mehr als 1-2 Stunden pro Tag gedauert hätten. Diesbezügliche Nachweise, die das belegen könnten, wie z.B. ein Arbeitsvertrag oder eine Stundenabrechnung, liegen indessen nicht vor. Belegt ist hingegen, dass D._______ bei der F._______ AG obligatorisch der BVG-Pflicht unterstellt war (vgl. zudem kurzzeitiger Anschluss bei der [...] Pensionskasse; [...]). Mit Bezug auf B._______ ist aufgrund des Eintrags im Handelsregister die Art seiner Tätigkeit zumindest von der Funktion her bekannt. Er war bei der Beschwerdeführerin und bei der C._______ GmbH Geschäftsführer. Wie hoch die einzelnen Arbeitspensen waren, ist dagegen wiederum unbekannt. Wie es scheint, war er für seine Tätigkeit bei der C._______ GmbH obligatorisch versichert (vgl. Versicherungsausweise; [...]). Dies veranlasste die Vorinstanz der Beschwerdeführerin mit Schreiben vom 17. Dezember 2014 denn auch mitzuteilen, dass es sich im Jahr 2010 "wirklich um einen Nebenerwerb von Hr. Blank bei der 'A._______ GmbH' handelte". Zur genauen Überprüfung verlangte die Vorinstanz dann jedoch eine schriftliche Bestätigung von der zuständigen Ausgleichskasse (vgl. [...]).</w:t>
      </w:r>
    </w:p>
    <w:p>
      <w:r>
        <w:rPr>
          <w:b/>
        </w:rPr>
        <w:t>E. 4.2.2</w:t>
      </w:r>
    </w:p>
    <w:p>
      <w:r>
        <w:t>Nach der bundesgerichtlichen Rechtsprechung ist nur bei gleichwertigen Erwerbstätigkeiten von einer mehrfachen Versicherungspflicht auszugehen (E. 2.2.2). Bei D._______ bestehen aufgrund der angefallenen Löhne insbesondere betreffend die Jahre 2006 und 2007 Anzeichen, dass gerade keine gleichwertigen Erwerbstätigkeiten vorliegen. In diesen Jahren arbeite er nur bei zwei Unternehmen, wobei der Lohn von der Beschwerdeführerin weniger als 30% des Gesamtlohnes ausmachte. Auch bei B._______ ist gemäss der bundesgerichtlichen Rechtsprechung aufgrund der Höhe der erhaltenen Löhne eine Nebentätigkeit im Sinn von Art. 1j Abs. 1 Bst. c BVV 2 zumindest nicht auszuschliessen. Die Frage kann nicht abschliessend beantwortet werden, da nähere Angaben zur Art und zum Umfang der Tätigkeiten fehlen. Das Bundesverwaltungsgericht kann somit mangels Kenntnis der tatsächlichen Verhältnisse keine abschliessende Qualifikation der Tätigkeiten vornehmen. Wie die Vorinstanz richtigerwiese ausführt, trägt die Beschwerdeführerin die Beweislast für Tatsachen, welche eine Befreiung von der obligatorischen BVG-Pflicht bewirken. Die Regeln der Beweislast kommen indessen erst dann zur Anwendung, wenn der relevante Sachverhalt hinreichend abgeklärt worden ist und dennoch Beweislosigkeit herrscht (E. 1.5). Es wäre deshalb an der Vorinstanz gelegen, den wesentlichen Sachverhalt genügend abzuklären. Sie hätte insbesondere die Beschwerdeführerin auffordern müssen (Mitwirkungspflicht; vgl. E. 1.5), Nachweise hinsichtlich der Art und des Umfangs (Pensen) der verschiedenen Arbeitstätigkeiten einzureichen. Statt solche Abklärungen vorzunehmen, gab sie der Beschwerdeführerin mit Schreiben vom 8. Juni 2015 die Auskunft, die abschliessende Qualifikation, ob eine nebenberufliche Tätigkeit vorliege, nehme die AHV-Ausgleichskasse vor. Daher forderte die Vorinstanz die Beschwerdeführerin auf, die entsprechende Bestätigung der AHV-Ausgleichskasse einzureichen, dass betreffend D._______ und B._______ ein blosser Nebenerwerb vorliege (vgl. Vernehmlassungsbeilage S. 64). Diese Auskunft der Vorinstanz war indessen nicht korrekt. Die Bestimmung des Haupt- oder Nebencharakters einer Tätigkeit ist in erster Linie Sache der Vorsorgeeinrichtung (E. 2.2.1). Vorliegend ist deshalb nicht entscheidend und muss nicht weiter untersucht werden, ob die AHV-Ausgleichskasse eine solche Bestätigung erstellt hat bzw. sie überhaupt zuständig wäre, eine solche auszustellen. Zudem kann der Beschwerdeführerin aufgrund dieser nicht korrekten Aufforderung von Seiten der Vorinstanz nicht vorgeworfen werden, sie hätte die notwendigen (korrekten) Belege von sich aus einreichen müssen.</w:t>
      </w:r>
    </w:p>
    <w:p>
      <w:r>
        <w:rPr>
          <w:b/>
        </w:rPr>
        <w:t>E. 4.2.3</w:t>
      </w:r>
    </w:p>
    <w:p>
      <w:r>
        <w:t>Nach dem Gesagten erweist sich der rechtserhebliche Sachverhalt als ungenügend abgeklärt (Art. 12 VwVG, Art 49 Bst. b VwVG). Im Rahmen des Untersuchungsgrundsatzes wäre es Sache der Vorinstanz gewesen, die erforderlichen weiteren Auskünfte bei der Beschwerdeführerin einzuholen. Die Vorinstanz hat somit ihre Untersuchungspflicht verletzt und da weitere Abklärungen vorzunehmen sind, rechtfertigt es sich, die Sache, soweit auf die Beschwerde einzutreten ist, zu einem neuen Entscheid an die Vorinstanz zurückzuweisen (E. 3).</w:t>
      </w:r>
    </w:p>
    <w:p>
      <w:r>
        <w:rPr>
          <w:b/>
        </w:rPr>
        <w:t>E. 5.1</w:t>
      </w:r>
    </w:p>
    <w:p>
      <w:r>
        <w:t>Eine Rückweisung an die Vorinstanz zu weiterer Abklärung und Neuverfügung gilt praxisgemäss als Obsiegen der beschwerdeführenden Partei (BGE 132 V 215 E. 6), sodass der geleistete Kostenvorschuss von Fr. 800.- der Beschwerdeführerin nach Eintritt der Rechtskraft des vorliegenden Urteils auf ein von ihr anzugebendes Konto zurückzuerstatten ist. Das teilweise Nichteintreten auf die Beschwerde rechtfertigt keine Auferlegung von Kosten. Der Vorinstanz werden keine Verfahrenskosten auferlegt (vgl. Art. 63 Abs. 1 und 2 VwVG; BGE 132 V 215 E. 6.1).</w:t>
      </w:r>
    </w:p>
    <w:p>
      <w:r>
        <w:rPr>
          <w:b/>
        </w:rPr>
        <w:t>E. 5.2</w:t>
      </w:r>
    </w:p>
    <w:p>
      <w:r>
        <w:t>Die im vorliegenden Verfahren nicht vertretene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