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2021 68 vom 1. Januar 2021</w:t>
      </w:r>
    </w:p>
    <w:p>
      <w:r>
        <w:t>Bundesstrafgericht, 2021-01-01, FR</w:t>
      </w:r>
    </w:p>
    <w:p>
      <w:r>
        <w:rPr>
          <w:b/>
        </w:rPr>
        <w:t xml:space="preserve">Quelle: </w:t>
      </w:r>
      <w:r>
        <w:t>https://mcp.opencaselaw.ch/entscheid/bstger_TPF_2021_68</w:t>
      </w:r>
    </w:p>
    <w:p>
      <w:r>
        <w:t>FR: TPF TPF 2021 68 du 1 janvier 2021</w:t>
      </w:r>
    </w:p>
    <w:p>
      <w:r>
        <w:t>IT: TPF TPF 2021 68 del 1 gennaio 2021</w:t>
      </w:r>
    </w:p>
    <w:p>
      <w:pPr>
        <w:pStyle w:val="Heading2"/>
      </w:pPr>
      <w:r>
        <w:t>Regeste</w:t>
      </w:r>
    </w:p>
    <w:p>
      <w:r>
        <w:t>Entsiegelung; Berufsgeheimnis des Rechtsanwalts</w:t>
      </w:r>
    </w:p>
    <w:p>
      <w:pPr>
        <w:pStyle w:val="Heading2"/>
      </w:pPr>
      <w:r>
        <w:t>Erwägungen</w:t>
      </w:r>
    </w:p>
    <w:p>
      <w:r>
        <w:rPr>
          <w:b/>
        </w:rPr>
        <w:t>E. 23</w:t>
      </w:r>
    </w:p>
    <w:p>
      <w:r>
        <w:t>juin 2000 sur la libre circulation des avocats (loi sur les avocats, LLCA; RS 935.61) et n’a pas le statut de prévenu dans la même affaire. L’introduction de l’alinéa précité, en vigueur depuis le 1er mai 2013, a eu</w:t>
      </w:r>
    </w:p>
    <w:p>
      <w:r>
        <w:t>TPF 2021 68</w:t>
      </w:r>
    </w:p>
    <w:p>
      <w:r>
        <w:t>72</w:t>
      </w:r>
    </w:p>
    <w:p>
      <w:r>
        <w:t>lieu dans le cadre de l’harmonisation des dispositions de procédure relatives au secret professionnel des avocats. Sa teneur reprend pour l’essentiel le contenu de l’art. 264 al. 1 let. a et d CPP (v. Message secret professionnel, FF 2011 7509, 7516). Quant à la notion d’avocat au sens de l’art. 50 al. 2 DPA et de la correspondance protégée par le secret de l’avocat, un parallèle peut également être fait avec l’art. 264 CPP (décision du Tribunal pénal fédéral BE.2018.15 précitée consid. 2.8.4 et référence citée; JEKER, Basler Kommentar, 2020, n. 7 ad art. 50 DPA).</w:t>
      </w:r>
    </w:p>
    <w:p>
      <w:r>
        <w:t>4.4.2.2 Il convient de préciser que tant l’art. 264 al. 1 let. a et d CPP que l’art. 46 al. 3 DPA interdisent le séquestre des objets ou des documents couverts par le secret de l’avocat. Selon l’art. 264 al. 1 let. a CPP ce sont les documents concernant des contacts entre le prévenu et «son» défenseur qui ne peuvent pas être séquestrés, étant précisé que la défense des prévenus est réservée aux seuls avocats autorisés à représenter les parties devant les tribunaux en vertu de la LLCA, sous réserve des dispositions cantonales contraires (v. art. 127 al. 5 CPP). Quant à l’art. 264 al. 1 let. d CPP, il envisage la protection des objets et des documents concernant des contacts entre une personne qui n’a pas le statut de prévenu (par exemple un témoin) et son avocat dès le moment où ce dernier est autorisé à pratiquer la représentation en justice en vertu de la LLCA. Partant, seuls les avocats autorisés à représenter en justice en vertu de la LLCA sont au bénéfice des exceptions susmentionnées (JULEN BERTHOD, Commentaire romand, 2e éd. 2019, n. 4a et 15a ad art. 264 CPP; v. CHAPPUIS/STEINER, Le secret de l’avocat dans le CPP et le CPC: entre divergence et harmonie, Revue de l’avocat 2017, p. 87 ss, 89), dès le moment où ils exercent une activité typique.</w:t>
      </w:r>
    </w:p>
    <w:p>
      <w:r>
        <w:t>4.4.3 4.4.3.1 Comme son nom l’indique, la LLCA contient des règles spéciales réglant la libre circulation des avocats (art. 1 LLCA), son champ d’application étant restreint puisque circonscrit aux titulaires d’un brevet d’avocat qui pratiquent, dans le cadre d’un monopole, la représentation en justice en Suisse (art. 2 al. 1 LLCA; BOHNET/OTHENIN- GIRARD/SCHWEIZER, Commentaire romand, 2010, n. 1 ad art. 2 LLCA; DREYER, Commentaire romand, 2010, n. 19 ad art. 21 LLCA; v. CHAPPUIS, Commentaire romand, 2017, n. 17 ad art. 321 CP; Message du 30 janvier 2002 relatif à la modification de la loi fédérale sur la libre circulation des avocats, FF 2002 2477, 2480). S’agissant de l’activité de conseil juridique, elle n’est pas réglementée par la LLCA qui ne s’applique donc pas aux</w:t>
      </w:r>
    </w:p>
    <w:p>
      <w:r>
        <w:t>TPF 2021 68</w:t>
      </w:r>
    </w:p>
    <w:p>
      <w:r>
        <w:t>73</w:t>
      </w:r>
    </w:p>
    <w:p>
      <w:r>
        <w:t>avocats qui exercent une activité de consultation juridique (v. DREYER, op. cit., n. 20 ad art. 21 LLCA; NATER, in: Fellmann/Zindel [édit.], Kommentar zum Anwaltsgesetz, 2005, n. 6 et 7 ad art. 2 LLCA). Quant à la pratique de la représentation en justice, elle n’est toutefois pas conditionnée à l’inscription à un registre cantonal puisque la loi réserve aux cantons la possibilité pour des avocats non inscrits au registre cantonal de représenter des parties auprès de leurs propres autorités cantonales (art. 3 al. 2 LLCA; CHAPPUIS, La profession d’avocat, Tome I, 2e éd. 2016, p. 18; BOHNET/OTHENIN-GIRARD/SCHWEIZER, op. cit., n. 25 ad art. 2 LLCA; NATER, op. cit., n. 3 et 10 ad art. 2 LLCA; GURTNER, La réglementation des sociétés d’avocats en Suisse: entre protectionnisme et libéralisme, 2016, p. 230). Partant, la LLCA ne réglemente pas de manière exhaustive la profession d’avocat, certains étant soumis à la LLCA et d’autres pas.</w:t>
      </w:r>
    </w:p>
    <w:p>
      <w:r>
        <w:t>4.4.3.2 L’art. 2 al. 2 et 3 LLCA réglemente les modalités d’application de la loi s’agissant de certaines catégories d’avocats. La première concerne les avocats ressortissants des États membres de l’Union européenne (UE) ou de l’Association européenne de libre-échange (AELE) habilités à exercer dans leur État de provenance sous l’une des dénominations figurant en annexe à la LLCA et qui pratiquent la représentation en justice en Suisse sous la forme de prestations de services ou de manière permanente (v. art. 21 ss). La seconde a trait aux ressortissants suisses habilités à exercer la profession d’avocat dans un État membre de l’UE ou de l’AELE sous un titre figurant en annexe à la LLCA.</w:t>
      </w:r>
    </w:p>
    <w:p>
      <w:r>
        <w:t>S’agissant plus précisément des avocats ressortissants de l’UE ou de l’AELE, plusieurs hypothèses sont prévues. Premièrement, ils peuvent pratiquer en Suisse, sous leur titre d’origine, la représentation en justice à titre permanent. Pour ce faire, ils doivent s’inscrire au tableau public des avocats des États membres de l’UE ou de l’AELE (art. 27 ss LLCA). Deuxièmement, ils peuvent requérir leur inscription au registre cantonal des avocats après avoir réussi une épreuve d’aptitude ou, sous certaines conditions, après avoir été inscrits pendant trois ans au moins au tableau des avocats pratiquant sous leur titre d’origine (art. 30 al. 1 LLCA). Troisièmement, ils peuvent pratiquer la représentation en justice en Suisse, sous leur titre d’origine, de façon occasionnelle (art. 21 ss LLCA).</w:t>
      </w:r>
    </w:p>
    <w:p>
      <w:r>
        <w:t>4.4.4 L’art. 46 al. 3 DPA est clair puisqu’il interdit le séquestre des objets et des documents concernant des contacts entre une personne et son avocat dès le moment où celui-ci est autorisé à pratiquer la représentation en justice sur</w:t>
      </w:r>
    </w:p>
    <w:p>
      <w:r>
        <w:t>TPF 2021 74</w:t>
      </w:r>
    </w:p>
    <w:p>
      <w:r>
        <w:t>74</w:t>
      </w:r>
    </w:p>
    <w:p>
      <w:r>
        <w:t>le territoire helvétique – d’après la LLCA – et n’a pas le statut de prévenu dans la même affaire (v. supra consid. 4.4.2). Partant, le secret professionnel de l’avocat ne saurait empêcher la saisie et la perquisition, en Suisse, de documents échangés entre un avocat étranger et son client suisse, dès le moment où l’avocat ressortissant d’un pays membre de l’UE ou de l’AELE n’exerce pas, sur territoire helvétique, la représentation en justice sous une des formes prévues par la LLCA.</w:t>
      </w:r>
    </w:p>
    <w:p>
      <w:r>
        <w:t>In casu, l’opposant ne peut être suivi lorsqu’il considère que le document inventorié sous 059 et contenant un courriel avec une pièce jointe laquelle représente un courrier d’un avocat luxembourgeois en lien avec un litige KYC (concernant un compte de H. SPF) est couvert par le secret de l’avocat. Aucune précision – ne serait-ce que sommaire – afin de rendre vraisemblable que ce document est couvert par le secret invoqué n’a été présentée par l’opposant, conformément à son devoir de motiver et de collaborer (v. supra consid. 4.4.1.3). Dès lors, en l’absence d’un quelconque élément permettant de retenir que l’avocat signataire du document susmentionné est un ressortissant d’un État membre de l’UE ou de l’AELE, ou que le document a été établi lors de la pratique – en Suisse – de la représentation en justice au sens de la LLCA ou encore qu’il a trait à l’activité typique d’avocat, ledit document ne peut pas être considéré comme étant couvert par le secret de l’avocat. Cela scelle le sort de ce grief. Partant, le document précité et son annexe seront transmis, dès l’entrée en force de la présente décision, à l’AFC. Idem s’agissant des autres documents contenus dans le dossier référencé 059 qui n’ont fait l’objet d’aucun grief de la part de l’opposant.</w:t>
      </w:r>
    </w:p>
    <w:p>
      <w:r>
        <w:t>TPF 2021 74</w:t>
      </w:r>
    </w:p>
    <w:p>
      <w:r>
        <w:t>10. Auszug aus dem Beschluss der Beschwerdekammer in Sachen A. gegen Bundesanwaltschaft, Fédération Internationale de Football Association (FIFA) vom 14. Januar 2021 (BB.2020.92, BB.2020.93)</w:t>
      </w:r>
    </w:p>
    <w:p>
      <w:r>
        <w:t>Folgen der Verletzung von Ausstandsvorschriften; Aufhebung von Amtshandlungen</w:t>
      </w:r>
    </w:p>
    <w:p>
      <w:r>
        <w:t>Art. 60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