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60 vom 1. Januar 2021</w:t>
      </w:r>
    </w:p>
    <w:p>
      <w:r>
        <w:t>Bundesstrafgericht, 2021-01-01, IT</w:t>
      </w:r>
    </w:p>
    <w:p>
      <w:r>
        <w:rPr>
          <w:b/>
        </w:rPr>
        <w:t xml:space="preserve">Quelle: </w:t>
      </w:r>
      <w:r>
        <w:t>https://mcp.opencaselaw.ch/entscheid/bstger_TPF_2021_60</w:t>
      </w:r>
    </w:p>
    <w:p>
      <w:r>
        <w:t>FR: TPF TPF 2021 60 du 1 janvier 2021</w:t>
      </w:r>
    </w:p>
    <w:p>
      <w:r>
        <w:t>IT: TPF TPF 2021 60 del 1 gennaio 2021</w:t>
      </w:r>
    </w:p>
    <w:p>
      <w:pPr>
        <w:pStyle w:val="Heading2"/>
      </w:pPr>
      <w:r>
        <w:t>Regeste</w:t>
      </w:r>
    </w:p>
    <w:p>
      <w:r>
        <w:t>Internationale Rechtshilfe in Strafsachen an Angola; Herausgabe von Beweismitteln; Sprache des Rechtshilfeersuchens und Übersetzung; Darstellung des Sachverhalts insbesondere Vortat der Geldwäscherei</w:t>
      </w:r>
    </w:p>
    <w:p>
      <w:pPr>
        <w:pStyle w:val="Heading2"/>
      </w:pPr>
      <w:r>
        <w:t>Erwägungen</w:t>
      </w:r>
    </w:p>
    <w:p>
      <w:r>
        <w:rPr>
          <w:b/>
        </w:rPr>
        <w:t>E. 30</w:t>
      </w:r>
    </w:p>
    <w:p>
      <w:r>
        <w:t>aprile 2020, ha dato seguito positivamente. Il 3 giugno 2020, A. ha interposto ricorso avverso tale decisione dinanzi alla Corte dei reclami penali del Tribunale penale federale.</w:t>
      </w:r>
    </w:p>
    <w:p>
      <w:r>
        <w:t>La Corte dei reclami penali ha respinto il ricorso.</w:t>
      </w:r>
    </w:p>
    <w:p>
      <w:r>
        <w:t>Sentenza del Tribunale federale 1C_722/2020 del 20 gennaio 2021: il ricorso è inammissibile.</w:t>
      </w:r>
    </w:p>
    <w:p>
      <w:r>
        <w:t>TPF 2021 60</w:t>
      </w:r>
    </w:p>
    <w:p>
      <w:r>
        <w:t>63</w:t>
      </w:r>
    </w:p>
    <w:p>
      <w:r>
        <w:t>Dai considerandi:</w:t>
      </w:r>
    </w:p>
    <w:p>
      <w:r>
        <w:t>2. Il ricorrente censura innanzitutto la violazione delle prescrizioni formali della domanda di assistenza e del suo complemento. La decisione di chiusura impugnata si fonderebbe su una rogatoria insufficiente, poiché tradotta unicamente in inglese, senza alcuna certificazione di conformità e senza una traduzione integrale degli allegati.</w:t>
      </w:r>
    </w:p>
    <w:p>
      <w:r>
        <w:t>2.1 Secondo l’art. 46 par. 14 della Convenzione del 31 ottobre 2003 delle Nazioni Unite contro la corruzione (UNCAC; RS 0.311.56), le richieste di assistenza giudiziaria reciproca sono da formulare per scritto e in una lingua accettata dallo Stato parte richiesto. Secondo l’art. 28 cpv. 5 AIMP, le domande estere e i documenti a sostegno devono essere presentati in lingua tedesca, francese o italiana o con una traduzione in una di queste lingue. Le traduzioni devono essere ufficialmente certificate.</w:t>
      </w:r>
    </w:p>
    <w:p>
      <w:r>
        <w:t>2.2 L’obbligo di presentare la rogatoria in una lingua ufficiale secondo l’art. 28 cpv. 5 AIMP non mira solo a permettere allo Stato richiesto di decidere in merito alla domanda con piena cognizione di causa, ma anche e soprattutto a tutelare i diritti della persona sottoposta a un provvedimento coercitivo, affinché possa capire esattamente tutti i particolari e la portata della richiesta (sentenza del Tribunale federale 1A.248/2006 del 1° febbraio 2007 consid. 2.2). È vero che tale norma non è una semplice disposizione ordinatoria, tuttavia, la mancanza di una traduzione certificata in una lingua ufficiale non comporta automaticamente l’irricevibilità della richiesta di assistenza giudiziaria. In tal caso l’autorità rogata dovrebbe piuttosto esigerne il completamento ai sensi dell’art. 28 cpv. 6 AIMP (sentenza del Tribunale federale 1A.240/1999 del 17 marzo 2000 consid. 2b). Secondo la giurisprudenza, la cooperazione internazionale può essere rifiutata solo nel caso in cui l’assenza di una traduzione non consenta all’autorità di trattare correttamente la richiesta, pregiudichi i diritti della persona perseguita o costituisca un comportamento abusivo da parte dell’Autorità richiedente (sentenza del Tribunale federale 1A.56/2000 del 17 aprile 2000 consid. 2b).</w:t>
      </w:r>
    </w:p>
    <w:p>
      <w:r>
        <w:t>2.3 In concreto, la domanda di assistenza, redatta in lingua portoghese e tradotta in inglese, ha potuto essere eseguita anche senza essere tradotta in una lingua ufficiale. Il ricorrente non sostiene, a questo proposito, di essere stato leso od ostacolato nella difesa dei suoi diritti. In particolare, dal suo curriculum vitae agli atti risultano una comprensione del portoghese e dell’inglese eccellenti. Egli si limita infatti ad una contestazione puramente</w:t>
      </w:r>
    </w:p>
    <w:p>
      <w:r>
        <w:t>TPF 2021 60</w:t>
      </w:r>
    </w:p>
    <w:p>
      <w:r>
        <w:t>64</w:t>
      </w:r>
    </w:p>
    <w:p>
      <w:r>
        <w:t>formale. Anche per quanto riguarda il suo patrocinatore, il quale in sede di replica ha lamentato di non conoscere il portoghese e per questo motivo di aver necessitato di far tradurre la documentazione, ciò che avrebbe comportato una riduzione di tempo per la difesa e dunque una violazione dei diritti del ricorrente, da una consultazione del sito internet del suo studio, non vi è dubbio delle sue capacità di comprendere l’inglese. Non vi è dunque ragione di rifiutare la concessione dell’assistenza per la sola mancanza della traduzione della domanda rogatoriale in una lingua ufficiale nazionale.</w:t>
      </w:r>
    </w:p>
    <w:p>
      <w:r>
        <w:t>3. Il ricorrente sostiene poi che l’esposto dei fatti contenuto nella domanda di assistenza e nel suo complemento è insufficiente. Il MPC avrebbe a ragione chiesto il completamento della domanda all’autorità rogante, poiché quanto comunicato non sarebbe bastato per corrispondere l’assistenza. A suo dire il complemento rogatoriale non avrebbe però apportato gli elementi necessari a giustificare la concessione dell’assistenza. La semplice aggiunta da parte delle autorità angolane delle funzioni svolte dall’indagato tra il 2008 e il 2019 (periodo peraltro contestato dal ricorrente, il quale ritiene verosimile che così facendo le autorità estere abbiano voluto ottenere informazioni concernenti un periodo di tempo maggiore) e l’ipotizzato squilibrio tra i soldi presenti sui suoi conti e i ricavi quali funzionario pubblico non chiarirebbero sufficientemente la fattispecie. La rogatoria sarebbe piuttosto una fishing expedition.</w:t>
      </w:r>
    </w:p>
    <w:p>
      <w:r>
        <w:t>3.1 L’art. 46 par. 15 UNCAC, l’art. 18 par. 15 della Convenzione delle Nazioni Unite del 15 novembre 2000 contro la criminalità organizzata transnazionale (UNTOC; RS 0.311.54) e l’art. 28 cpv. 2 e 3 AIMP unitamente all’art. 10 cpv. 2 OAIMP esigono in sostanza che la domanda di assistenza indichi il suo oggetto, il motivo, la qualificazione giuridica dei reati, presentando altresì un breve esposto dei fatti essenziali, al fine di permettere allo Stato rogato di verificare che non sussistano condizioni ostative all’assistenza (DTF 129 II 97 consid. 3; 118 Ib 111 consid. 5b; 118 Ib 547 consid. 3a; 117 Ib 64 consid. 5c pag. 88). In questo ambito, non si può tuttavia pretendere dallo Stato richiedente la presentazione di un esposto dei fatti totalmente esente da lacune o contraddizioni, visto che lo scopo della rogatoria è proprio quello di chiarire punti oscuri relativi alle fattispecie oggetto d’indagine all’estero, fermo restando che la verifica delle condizioni per la concessione dell’assistenza deve rimanere possibile (DTF 117 Ib 64 consid. 5c e rinvii). Lo Stato richiedente è semplicemente tenuto ad esporre in modo sufficiente le circostanze sulle quali fonda i propri</w:t>
      </w:r>
    </w:p>
    <w:p>
      <w:r>
        <w:t>TPF 2021 60</w:t>
      </w:r>
    </w:p>
    <w:p>
      <w:r>
        <w:t>65</w:t>
      </w:r>
    </w:p>
    <w:p>
      <w:r>
        <w:t>sospetti, per permettere allo Stato richiesto di escludere di trovarsi in presenza di un’inammissibile ricerca indiscriminata di prove (v. su questo tema DTF 129 II 97 consid. 3.1; 125 II 65 consid. 6b/aa; 122 II 367 consid. 2c). L’esame della colpevolezza è riservato al giudice straniero del merito, non a quello svizzero dell’assistenza (DTF 113 Ib 276 consid. 3a; 112 Ib 576 consid. 3; sentenza del Tribunale federale 1C_562/2011 del 22 dicembre 2011 consid. 1.6). In particolare, non è raro che le attività criminali, tra cui la corruzione, vengano scoperte attraverso i profitti realizzati, e a questo proposito è chiaramente necessaria l’assistenza reciproca (DTF 129 II 97 consid. 3.2). L’art. 46 par. 1 UNCAC e l’art. 18 par. 1 UNTOC sanciscono che gli Stati Parte si concedono reciprocamente la più ampia assistenza giudiziaria in materia di indagini.</w:t>
      </w:r>
    </w:p>
    <w:p>
      <w:r>
        <w:t>In sostanza, le informazioni contenute nella domanda di assistenza giudiziaria sono sufficienti, quando consentono alle autorità svizzere di verificare la presenza di indizi di un reato per il quale si può concedere l’assistenza, se vi sono motivi di rifiuto o in che misura la domanda deve essere soddisfatta (DTF 132 II 81 consid. 2.1).</w:t>
      </w:r>
    </w:p>
    <w:p>
      <w:r>
        <w:t>3.2 In concreto, la domanda di assistenza del 16 novembre 2017, oltre a riportare una trascrizione dei fatti comunicati mediante la trasmissione spontanea del 18 settembre 2017, contiene l’elenco dei reati per i quali il ricorrente è indagato in Angola e comunica le richieste di assistenza. Con scritto del 24 maggio 2018, il MPC ha comunicato alle competenti autorità angolane che la rogatoria non adempiva i requisiti minimi necessari alla concessione dell’assistenza, ritendendo in particolare necessaria un’aggiunta all’esposto dei fatti che permettesse di stabilire un nesso tra i reati oggetto delle indagini estere, la richiesta di provvedimenti da intraprendere e i conti menzionati. Nel complemento rogatoriale del 16 giugno 2019, le autorità angolane hanno specificato le cariche pubbliche ricoperte dall’indagato tra il 2008 e il 2019 e hanno ampliato la lista dei reati per i quali il ricorrente è accusato, evidenziando altresì come il reddito percepito in qualità di funzionario pubblico non giustificasse gli averi disponibili sui suoi conti. Con decisione di entrata in materia del 4 novembre 2019, il MPC ha ritenuto la domanda di assistenza delle autorità angolane, unitamente al suo complemento, sufficiente dal punto di vista formale e materiale al fine di corrispondere l’assistenza.</w:t>
      </w:r>
    </w:p>
    <w:p>
      <w:r>
        <w:t>3.3 Ora, il ricorrente è indagato, fra gli altri reati, per corruzione attiva e passiva nonché per riciclaggio di denaro. Secondo l’art. 46 par. 9 lett. b</w:t>
      </w:r>
    </w:p>
    <w:p>
      <w:r>
        <w:t>TPF 2021 60</w:t>
      </w:r>
    </w:p>
    <w:p>
      <w:r>
        <w:t>66</w:t>
      </w:r>
    </w:p>
    <w:p>
      <w:r>
        <w:t>UNCAC, gli Stati Parte possono rifiutare di fornire l’assistenza prevista dal presente articolo in base all’assenza della doppia incriminazione. In questo senso, l’art. 64 cpv. 1 AIMP prevede che, in caso di assistenza giudiziaria accessoria (ossia non legata all’estradizione), le misure coercitive procedurali possono essere applicate solo se l’esposto dei fatti, così come presentato nella richiesta, dimostra che l’atto perseguito all’estero presenta le caratteristiche oggettive di un reato penale secondo il diritto svizzero (cfr. anche la definizione di doppia incriminazione di cui all’art. 43 par. 2 UNCAC, che non differisce, nella misura in cui qui rilevante, da quella dell’AIMP). Secondo la giurisprudenza, non è necessario che la richiesta identifichi il reato presupposto del riciclaggio di denaro per verificare il requisito della doppia punibilità. In linea di principio, è sufficiente che siano presentate le operazioni finanziarie sospettate di costituire atti di riciclaggio; il luogo, il momento e le circostanze del reato presupposto non devono tuttavia ancora essere conosciuti in dettaglio (DTF 130 II 329 consid. 5.1 pag. 335; 129 II 97 consid. 3.2; sentenza del Tribunale federale 1A.189/2006 del 7 febbraio 2007 consid. 2.5; ciascuna con riferimenti). Ciò corrisponde all’obbligo degli Stati parte dell’UNCAC di prestarsi reciprocamente la più ampia assistenza giudiziaria possibile (art. 46 par. 1 UNCAC; cfr. anche l’art. 14 par. 5 UNCAC, secondo il quale gli Stati Parte si adoperano al fine di sviluppare e promuovere la cooperazione al fine di lottare contro il riciclaggio di denaro). Di conseguenza, per la concessione dell’assistenza giudiziaria una qualifica del reato presupposto non è necessaria, né secondo la legge dello Stato richiedente né secondo quella dello Stato richiesto (sentenza del Tribunale federale 1C_126/2014 del 16 maggio 2014 consid. 4.4). Secondo il Tribunale federale, non è del resto raro che un’attività criminale (corruzione, traffici diversi) sia scoperta proprio attraverso i profitti realizzati (DTF 129 II 97 consid. 3.2). Se tale attività ha una dimensione internazionale, è possibile che una domanda di assistenza giudiziaria presentata ad uno Stato toccato dai fatti oggetto d’indagine presenti un esposto dei fatti incompleto, che non può tuttavia condurre al rifiuto dell’assistenza, segnatamente alla luce dell’art. 46 par. 1 e 2 UNCAC (cfr. anche JOSITSCH, Das Schweizerische Korruptionsstrafrecht, 2004, pag. 241). Le motivazioni alla base di tale approccio sono analoghe a quelle sviluppate dal Tribunale federale per quanto riguarda la Convenzione dell’8 novembre 1990 sul riciclaggio, la ricerca, il sequestro e la confisca dei proventi di reato (CRic; RS 0.311.53) (v. DTF 129 II 97 consid. 3.2). Già nel preambolo della UNCAC viene del resto evocata la preoccupazione legata ai nessi esistenti tra la corruzione ed altre forme di criminalità, in particolare la criminalità organizzata e la</w:t>
      </w:r>
    </w:p>
    <w:p>
      <w:r>
        <w:t>TPF 2021 60</w:t>
      </w:r>
    </w:p>
    <w:p>
      <w:r>
        <w:t>67</w:t>
      </w:r>
    </w:p>
    <w:p>
      <w:r>
        <w:t>criminalità economica, compreso il riciclaggio di denaro. Costituendo la corruzione sempre più un fenomeno transnazionale, la cooperazione internazionale risulta essenziale per prevenirla e stroncarla. Gli Stati Parte riconoscono la necessità di prevenire, individuare e scoraggiare in modo più efficace i trasferimenti internazionali di beni illecitamente acquisiti e di potenziare la loro collaborazione per il recupero dei beni. Al suo art. 14, la UNCAC elenca tutta una serie di misure che gli Stati Parte sono invitati ad adottare per prevenire il riciclaggio di denaro, misure che devono facilitare la cooperazione e lo scambio di informazioni anche a livello internazionale (v. JOSITSCH, op. cit., pag. 238). Giusta l’art. 46 par. 3 UNCAC, l’assistenza giudiziaria reciproca che deve essere concessa conformemente a tale articolo può essere richiesta, tra gli altri motivi, per identificare o rintracciare proventi di reato, proprietà, strumenti o altro, ai fini probatori (lett. g), per identificare, congelare e rintracciare proventi del crimine e per recuperare beni, conformemente alle disposizioni del capitolo V della Convenzione (lett. j e k). Il par. 7 della medesima norma prevede che i paragrafi 9–29 dello stesso articolo si applicano alle richieste presentate ai sensi del presente articolo se i relativi Stati Parte non sono vincolati da un trattato di assistenza giudiziaria reciproca, come è il caso nella fattispecie. Si incoraggiano fortemente gli Stati Parte ad applicare questi punti nel caso in cui facilitino la cooperazione. Pure di rilievo nella fattispecie è quanto previsto dal par. 9 della disposizione, ossia che uno Stato Parte, nel rispondere ad una richiesta di assistenza prevista dal presente articolo in assenza della doppia incriminazione, tiene conto dei fini della presente Convenzione, come esposti nell’art. 1. Quest’ultimo articolo prevede che la Convenzione ha per oggetto la promozione ed il rafforzamento delle misure volte a prevenire e combattere la corruzione in modo efficace (lett. a), nonché la promozione, l’agevolazione ed il sostegno della cooperazione internazionale e dell’assistenza tecnica ai fini della prevenzione della corruzione e della lotta a quest’ultima, compreso il recupero di beni (lett. b). Tale volontà emerge anche dall’art. 46 par. 9 lett. c della Convenzione, secondo il quale ogni Stato Parte può prendere in considerazione l’adozione di misure che possono essere necessarie per consentirgli di fornire il più ampio campo di applicazione dell’assistenza ai sensi dell’articolo in assenza di doppia incriminazione. Anche per quanto riguarda la restituzione di beni, principio fondamentale della Convenzione, gli Stati Parte devono prestarsi reciprocamente la più ampia cooperazione ed assistenza (v. art. 51 UNCAC; JOSITSCH, op. cit., pag. 242 e 247 e seg.).</w:t>
      </w:r>
    </w:p>
    <w:p>
      <w:r>
        <w:t>TPF 2021 68</w:t>
      </w:r>
    </w:p>
    <w:p>
      <w:r>
        <w:t>68</w:t>
      </w:r>
    </w:p>
    <w:p>
      <w:r>
        <w:t>Nella fattispecie, l’autorità rogante non ha fornito elementi sul crimine a monte, ossia i presunti atti corruttivi. Basandosi su una trasmissione spontanea d’informazioni del MPC – strumento il cui uso è promosso dalla Convenzione (v. art. 46 par. 4 UNCAC; JOSITSCH, op. cit., pag. 248) – essa ha però indicato che sui vari conti segnalati dalle autorità elvetiche sono giunti considerevoli somme di denaro difficilmente conciliabili con l’attività lavorativa del ricorrente, il quale ha ricoperto svariate mansioni pubbliche per lo Stato angolano. Ne consegue che l’esposto dei fatti rogatoriale è conforme alle esigenze della UNCAC e la domanda di assistenza non costituisce di certo, come sostenuto dal ricorrente, una ricerca indiscriminata di prove.</w:t>
      </w:r>
    </w:p>
    <w:p>
      <w:r>
        <w:t>TPF 2021 68</w:t>
      </w:r>
    </w:p>
    <w:p>
      <w:r>
        <w:t>9. Extrait de la décision de la Cour des plaintes dans la cause Administration fédérale des contributions contre A. du 12 janvier 2021 (BE.2019.8)</w:t>
      </w:r>
    </w:p>
    <w:p>
      <w:r>
        <w:t>Levée des scellés; secret professionnel de l’avocat</w:t>
      </w:r>
    </w:p>
    <w:p>
      <w:r>
        <w:t>Art. 46 al. 3, 50 al. 2 DPA</w:t>
      </w:r>
    </w:p>
    <w:p>
      <w:r>
        <w:t>Limitation du secret professionnel de l’avocat s’opposant à la perquisition de documents/données aux avocats suisses et aux avocats étrangers autorisés à exercer en Suisse en vertu de la LLCA (consid. 4.4).</w:t>
      </w:r>
    </w:p>
    <w:p>
      <w:r>
        <w:t>Entsiegelung; Berufsgeheimnis des Rechtsanwalts</w:t>
      </w:r>
    </w:p>
    <w:p>
      <w:r>
        <w:t>Art. 46 Abs. 3, 50 Abs. 2 VStrR</w:t>
      </w:r>
    </w:p>
    <w:p>
      <w:r>
        <w:t>Beschränkung des Berufsgeheimnisses, welches einer Durchsuchung von Do- kumenten/Daten entgegensteht, auf schweizerische Rechtsanwälte sowie auf ausländische Rechtsanwälte, welche gestützt auf das BGFA zur Ausübung des Anwaltsberufs in der Schweiz berechtigt sind (E. 4.4).</w:t>
      </w:r>
    </w:p>
    <w:p>
      <w:r>
        <w:t>Dissigillamento; segreto professionale dell’avvocato</w:t>
      </w:r>
    </w:p>
    <w:p>
      <w:r>
        <w:t>Art. 46 cpv. 3, 50 cpv. 2 DPA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