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158 vom 31. August 2020</w:t>
      </w:r>
    </w:p>
    <w:p>
      <w:r>
        <w:t>Bundesstrafgericht, 2020-08-31, FR</w:t>
      </w:r>
    </w:p>
    <w:p>
      <w:r>
        <w:rPr>
          <w:b/>
        </w:rPr>
        <w:t xml:space="preserve">Quelle: </w:t>
      </w:r>
      <w:r>
        <w:t>https://mcp.opencaselaw.ch/entscheid/bstger_TPF_2020_158</w:t>
      </w:r>
    </w:p>
    <w:p>
      <w:r>
        <w:t>FR: TPF TPF 2020 158 du 31 août 2020</w:t>
      </w:r>
    </w:p>
    <w:p>
      <w:r>
        <w:t>IT: TPF TPF 2020 158 del 31 agosto 2020</w:t>
      </w:r>
    </w:p>
    <w:p>
      <w:pPr>
        <w:pStyle w:val="Heading2"/>
      </w:pPr>
      <w:r>
        <w:t>Regeste</w:t>
      </w:r>
    </w:p>
    <w:p>
      <w:r>
        <w:t>Festlegung der Gesamtstrafe für das Lagern und In Umlaufsetzen von Falschgeld</w:t>
      </w:r>
    </w:p>
    <w:p>
      <w:pPr>
        <w:pStyle w:val="Heading2"/>
      </w:pPr>
      <w:r>
        <w:t>Erwägungen</w:t>
      </w:r>
    </w:p>
    <w:p>
      <w:r>
        <w:rPr>
          <w:b/>
        </w:rPr>
        <w:t>E. 28</w:t>
      </w:r>
    </w:p>
    <w:p>
      <w:r>
        <w:t>Auszug aus dem Urteil der Berufungskammer in Sachen A. gegen Bundesanwaltschaft und B. AG vom 21. September 2020 (CA.2019.25)</w:t>
      </w:r>
    </w:p>
    <w:p>
      <w:r>
        <w:t>Bindungswirkung höchstrichterlicher Entscheide; Verletzung des Fabrikations- oder Geschäftsgeheimnisses</w:t>
      </w:r>
    </w:p>
    <w:p>
      <w:r>
        <w:t>Art. 162 StGB</w:t>
      </w:r>
    </w:p>
    <w:p>
      <w:r>
        <w:t>Aufgrund der Bindungswirkung höchstrichterlicher Entscheide darf im erneuten Rechtsgang nur noch eine versuchte Tatbegehung geprüft werden, wenn das Bundesgericht nach Beurteilung der Sach- und Rechtslage festgestellt hat, ein Delikt sei nicht vollendet worden (E. I.3).</w:t>
      </w:r>
    </w:p>
    <w:p>
      <w:r>
        <w:t>Abgrenzung Vorsatz/Fahrlässigkeit (E. II.1.3.2).</w:t>
      </w:r>
    </w:p>
    <w:p>
      <w:r>
        <w:t>Caractère contraignant des arrêts du Tribunal fédéral; violation du secret de fabrication ou du secret commercial</w:t>
      </w:r>
    </w:p>
    <w:p>
      <w:r>
        <w:t>Art. 162 CP</w:t>
      </w:r>
    </w:p>
    <w:p>
      <w:r>
        <w:t>En raison du caractère contraignant des arrêts du Tribunal fédéral, seule la tentative de commettre une infraction peut encore être examinée dans le cadre d’une nouvelle procédure si le Tribunal fédéral, après avoir examiné la situation en fait et en droit, a déterminé que l’infraction n’avait pas été achevée (consid. I.3).</w:t>
      </w:r>
    </w:p>
    <w:p>
      <w:r>
        <w:t>Délimitation entre l’intention et la négligence (consid. II.1.3.2).</w:t>
      </w:r>
    </w:p>
    <w:p>
      <w:r>
        <w:t>Forza vincolante delle decisioni del Tribunale federale; violazione di un segreto commerciale o di fabbricazione</w:t>
      </w:r>
    </w:p>
    <w:p>
      <w:r>
        <w:t>Art. 162 CP</w:t>
      </w:r>
    </w:p>
    <w:p>
      <w:r>
        <w:t>In virtù della forza vincolante delle decisioni del Tribunale federale, solo l’ipotesi di un tentativo di reato può ancora essere esaminata nel quadro del nuovo procedimento se il Tribunale federale, dopo aver valutato la situazione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