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106 vom 1. Januar 2019</w:t>
      </w:r>
    </w:p>
    <w:p>
      <w:r>
        <w:t>Bundesstrafgericht, 2019-01-01, DE</w:t>
      </w:r>
    </w:p>
    <w:p>
      <w:r>
        <w:rPr>
          <w:b/>
        </w:rPr>
        <w:t xml:space="preserve">Quelle: </w:t>
      </w:r>
      <w:r>
        <w:t>https://mcp.opencaselaw.ch/entscheid/bstger_TPF_2019_106</w:t>
      </w:r>
    </w:p>
    <w:p>
      <w:r>
        <w:t>FR: TPF TPF 2019 106 du 1 janvier 2019</w:t>
      </w:r>
    </w:p>
    <w:p>
      <w:r>
        <w:t>IT: TPF TPF 2019 106 del 1 gennaio 2019</w:t>
      </w:r>
    </w:p>
    <w:p>
      <w:pPr>
        <w:pStyle w:val="Heading2"/>
      </w:pPr>
      <w:r>
        <w:t>Regeste</w:t>
      </w:r>
    </w:p>
    <w:p>
      <w:r>
        <w:t>Zulässigkeit eines Gesuchs um Revision betreffend einen Ausstandsentscheid der Beschwerdekammer</w:t>
      </w:r>
    </w:p>
    <w:p>
      <w:pPr>
        <w:pStyle w:val="Heading2"/>
      </w:pPr>
      <w:r>
        <w:t>Erwägungen</w:t>
      </w:r>
    </w:p>
    <w:p>
      <w:r>
        <w:rPr>
          <w:b/>
        </w:rPr>
        <w:t>E. 21</w:t>
      </w:r>
    </w:p>
    <w:p>
      <w:r>
        <w:t>juin 2018 consid. 1.2);</w:t>
      </w:r>
    </w:p>
    <w:p>
      <w:r>
        <w:t>- la décision querellée n’est manifestement pas un jugement au fond entré en force au sens des dispositions susmentionnées et la voie de la révision devant la Cour d’appel n’est ainsi pas ouverte à son encontre;</w:t>
      </w:r>
    </w:p>
    <w:p>
      <w:r>
        <w:t>- […].</w:t>
      </w:r>
    </w:p>
    <w:p>
      <w:r>
        <w:t>TPF 2019 109</w:t>
      </w:r>
    </w:p>
    <w:p>
      <w:r>
        <w:rPr>
          <w:b/>
        </w:rPr>
        <w:t>E. 22</w:t>
      </w:r>
    </w:p>
    <w:p>
      <w:r>
        <w:t>Extrait de l’arrêt de la Cour des plaintes dans la cause A. contre Office fédéral de la justice du 21 août 2019 (RR.2019.163)</w:t>
      </w:r>
    </w:p>
    <w:p>
      <w:r>
        <w:t>Extradition; droit à un avocat; formalisme excessif; compétence de l’Etat requérant</w:t>
      </w:r>
    </w:p>
    <w:p>
      <w:r>
        <w:t>Art. 21 al. 1 EIMP, art. 5 al. 3, 9, 29 al. 1 Cst., art. 1, 25 de la Convention européenne pour la surveillance des personnes condamnées ou libérées sous condition</w:t>
      </w:r>
    </w:p>
    <w:p>
      <w:r>
        <w:t>Lorsque dans le cadre de la procédure d’extradition l’OFJ est informé qu’un avocat est prêt à intervenir comme mandataire d’office, il ne peut considérer que l’extradable n’a pas d’avocat, même s’il ne reçoit pas de procuration en bonne et due forme (consid. 2).</w:t>
      </w:r>
    </w:p>
    <w:p>
      <w:r>
        <w:t>Dans le cas de la surveillance des personnes condamnées ou libérées sous condition, une éventuelle délégation de l’exécution de la peine présuppose que l’Etat requérant renonce à sa propre compétence. L’Etat requis, ne peut, par acte concluant, s’arroger la compétence de faire exécuter la condamnation (consid. 3).</w:t>
      </w:r>
    </w:p>
    <w:p>
      <w:r>
        <w:t>Auslieferung; Recht auf einen Anwalt; überspitzter Formalismus; Zuständigkeit des ersuchenden Staates</w:t>
      </w:r>
    </w:p>
    <w:p>
      <w:r>
        <w:t>Art. 21 Abs. 1 IRSG, Art. 5 Abs. 3, 9, 29 Abs. 1 BV, Art. 1, 25 des Europäischen Übereinkommens über die Überwachung bedingt verurteilter oder bedingt entlassener Personen</w:t>
      </w:r>
    </w:p>
    <w:p>
      <w:r>
        <w:t>Wenn dem BJ im Rahmen eines Auslieferungsverfahrens mitgeteilt wird, dass ein Anwalt bereit ist, die amtliche Vertretung zu übernehmen, kann das BJ nicht davon ausgehen, der Verfolgte habe keinen Anwalt, auch wenn es keine formgültige Vollmacht erhalten hat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