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2018 38 vom 1. Januar 2018</w:t>
      </w:r>
    </w:p>
    <w:p>
      <w:r>
        <w:t>Bundesstrafgericht, 2018-01-01, DE</w:t>
      </w:r>
    </w:p>
    <w:p>
      <w:r>
        <w:rPr>
          <w:b/>
        </w:rPr>
        <w:t xml:space="preserve">Quelle: </w:t>
      </w:r>
      <w:r>
        <w:t>https://mcp.opencaselaw.ch/entscheid/bstger_TPF_2018_38</w:t>
      </w:r>
    </w:p>
    <w:p>
      <w:r>
        <w:t>FR: TPF TPF 2018 38 du 1 janvier 2018</w:t>
      </w:r>
    </w:p>
    <w:p>
      <w:r>
        <w:t>IT: TPF TPF 2018 38 del 1 gennaio 2018</w:t>
      </w:r>
    </w:p>
    <w:p>
      <w:pPr>
        <w:pStyle w:val="Heading2"/>
      </w:pPr>
      <w:r>
        <w:t>Regeste</w:t>
      </w:r>
    </w:p>
    <w:p>
      <w:r>
        <w:t>Gerichtsstandskonflikt; Abweichen vom gesetzlichen Gerichtsstand</w:t>
      </w:r>
    </w:p>
    <w:p>
      <w:pPr>
        <w:pStyle w:val="Heading2"/>
      </w:pPr>
      <w:r>
        <w:t>Erwägungen</w:t>
      </w:r>
    </w:p>
    <w:p>
      <w:r>
        <w:rPr>
          <w:b/>
        </w:rPr>
        <w:t>E. 38</w:t>
      </w:r>
    </w:p>
    <w:p>
      <w:r>
        <w:t>werden, dass sein psychischer Zustand äusserst fragil war, was sich in nicht voraussehbarer Weise auf seine Verteidigungsfähigkeit auswirken konnte. Dies galt umso mehr, als der Beschwerdeführer zu einem Sachverhaltsvorwurf einzuvernehmen war, welcher gerade im engen Zusammenhang mit seiner schweren psychischen Beeinträchtigung steht. Unter diesen besonderen Umständen bestanden starke Zweifel daran, dass der Beschwerdeführer in der Lage war, durchgehend seine eigenen Verfahrensinteressen im Rahmen seiner Einvernahme wahrzunehmen. Im Zweifelsfall und in Abwesenheit der gesetzlichen Vertreter des Beschwerdeführers hätte die Beschwerdegegnerin die Voraussetzungen für eine notwendige Verteidigung im Sinne von Art. 21 Abs. 1 IRSG i.V.m. Art. 24 lit. b JStPO als erfüllt erachten müssen. Nachdem der Beschwerdeführer keinen Wahlverteidiger bestimmt und auch keinen unentgeltlichen Rechtsvertreter beantragt hatte, hätte die Einvernahme spätestens mit dessen Aussagen über die schweren psychischen Auffälligkeiten, die psychiatrische Behandlung und die vorangegangenen Suizidversuche abgebrochen werden müssen. Die Beschwerdegegnerin hätte anschliessend die gesetzliche Vertretung auffordern müssen, eine Wahlverteidigung zu bestimmen. Gegebenenfalls hätte sie dann in Anwendung von Art. 21 Abs. 1 IRSG i.V.m. Art. 24 lit. b und Art. 25 Abs. 1 lit. b JStPO eine amtliche Verteidigung anordnen müssen.</w:t>
      </w:r>
    </w:p>
    <w:p>
      <w:r>
        <w:t>7.6 In diesem Sinne erweist sich die Beschwerde als begründet und der angefochtene Entscheid ist aufzuheben. Die Einvernahme des Beschwerdeführers ist zu wiederholen. Die Beschwerdegegnerin wird den Beschwerdeführer in Beachtung der massgeblichen Bestimmungen vorzuladen (s. supra E. 6) und ihn im Sinne der vorstehenden Erwägungen (E. 7) einzuvernehmen haben. Es sind ihm dabei alle Auszüge der im Rechtshilfeersuchen genannten Gesetze auszuhändigen, was entsprechend zu protokollieren ist.</w:t>
      </w:r>
    </w:p>
    <w:p>
      <w:r>
        <w:t>TPF 2018 38</w:t>
      </w:r>
    </w:p>
    <w:p>
      <w:r>
        <w:t>7. Auszug aus dem Beschluss der Beschwerdekammer in Sachen Kanton St. Gallen gegen Kanton Zürich vom 26. Februar 2018 (BG.2018.4)</w:t>
      </w:r>
    </w:p>
    <w:p>
      <w:r>
        <w:t>Gerichtsstandskonflikt; Abweichen vom gesetzlichen Gerichtsstand</w:t>
      </w:r>
    </w:p>
    <w:p>
      <w:r>
        <w:t>Art. 40 Abs. 3 StPO</w:t>
      </w:r>
    </w:p>
    <w:p>
      <w:r>
        <w:t>TPF 2018 38</w:t>
      </w:r>
    </w:p>
    <w:p>
      <w:r>
        <w:rPr>
          <w:b/>
        </w:rPr>
        <w:t>E. 39</w:t>
      </w:r>
    </w:p>
    <w:p>
      <w:r>
        <w:t>Abweichen vom gesetzlichen Gerichtsstand aufgrund eines «gesamthaft deliktischen Geschäftsbetriebs» in einem anderen Kanton (E. 3).</w:t>
      </w:r>
    </w:p>
    <w:p>
      <w:r>
        <w:t>Conflit de for; dérogation au for ordinaire</w:t>
      </w:r>
    </w:p>
    <w:p>
      <w:r>
        <w:t>Art. 40 al. 3 CPP</w:t>
      </w:r>
    </w:p>
    <w:p>
      <w:r>
        <w:t>Dérogation au for légal dans le cas où l’activité délictueuse dans son ensemble est exercée dans un autre canton (consid. 3).</w:t>
      </w:r>
    </w:p>
    <w:p>
      <w:r>
        <w:t>Conflitto di foro; deroga dal foro ordinario</w:t>
      </w:r>
    </w:p>
    <w:p>
      <w:r>
        <w:t>Art. 40 cpv. 3 CPP</w:t>
      </w:r>
    </w:p>
    <w:p>
      <w:r>
        <w:t>Deroga dal foro ordinario nel caso in cui l’attivita delittuosa nel suo complesso è in un altro Cantone (consid. 3).</w:t>
      </w:r>
    </w:p>
    <w:p>
      <w:r>
        <w:t>Zusammenfassung des Sachverhalts:</w:t>
      </w:r>
    </w:p>
    <w:p>
      <w:r>
        <w:t>Am 14. Dezember 2017 hielt das Grenzwachtkorps in Z./SG A. an, welcher in einem VW Sharan mit Zürcher Kontrollschildern aus Österreich kommend am Grenzübergang 2’190 Hanfstecklinge in die Schweiz transportierte. Im Kofferraum des Fahrzeugs wurde auch eine Wärmeglühlampe gefunden, wie sie üblicherweise für die Aufzucht von Hanfpflanzen benutzt wird. Die Schnellanalyse ergab, dass es sich bei den Stecklingen nicht, wie von A. behauptet, um CBD-Pflanzen, sondern um Drogenhanf handelte. Das Untersuchungsamt Altstätten ordnete in der Folge u.a. eine Hausdurchsuchung am Wohnort des Beschuldigten sowie dessen Lebensgefährtin B., beide in Zürich, und der von A. gemieteten Liegenschaft in Y./ZH an. Mit der Durchführung wurde rechtshilfeweise die Kantonspolizei Zürich beauftragt, zum Teil unter Mitwirkung der Kantonspolizei St. Gallen. Am Wohnort des Beschuldigten wurden Aktenordner mit Buchhaltungsunterlagen, Rechnungen und Belegen für Einkäufe von Geräten, Gegenständen und Pflanzen für die Indoor-Anlage sichergestellt. In dem vom Beschuldigten angemieteten Gebäude in Y./ZH wurde eine komplett eingerichtete Indoor-Anlage mit 3'349 Stecklingen und 66 ausgewachsenen Pflanzen sowie säckeweise getrocknetes Marihuana zum Zweck des Verkaufs und Vermittelns vorgefunden. Gestützt auf die bisherigen Erkenntnisse soll A. mutmasslich seit 2012, eigenen Angaben zufolge seit 2014, in der Stadt Zürich und Umgebung in professionellem Umfang Hanfpflanzen anbauen und mit diesen sowie dem daraus gewonnenen Marihuana Handel betreiben. Das Untersuchungsrichteramt</w:t>
      </w:r>
    </w:p>
    <w:p>
      <w:r>
        <w:t>TPF 2018 38</w:t>
      </w:r>
    </w:p>
    <w:p>
      <w:r>
        <w:rPr>
          <w:b/>
        </w:rPr>
        <w:t>E. 40</w:t>
      </w:r>
    </w:p>
    <w:p>
      <w:r>
        <w:t>Altstätten vermutete, dass die in Z./SG eingeführten 2’190 Stecklinge ebenfalls in Y./ZH aufgezogen werden sollten zum Zweck späteren Verkaufs in der Stadt Zürich und Umgebung. Die Strafverfolgungsbehörden der Kantone St. Gallen und Zürich bemühten sich danach erfolglos um eine Einigung betreffend die Zuständigkeit zur Verfolgung der A. zur Last gelegten Straftaten. Mit Eingabe vom 7. Februar 2018 ersuchte der Kanton St. Gallen diesbezüglich die Beschwerdekammer um Entscheid.</w:t>
      </w:r>
    </w:p>
    <w:p>
      <w:r>
        <w:t>Die Beschwerdekammer erklärte die Strafbehörden des Kantons Zürich für berechtigt und verpflichtet, die A. zur Last gelegten Straftaten zu verfolgen und zu beurteilen.</w:t>
      </w:r>
    </w:p>
    <w:p>
      <w:r>
        <w:t>Aus den Erwägungen:</w:t>
      </w:r>
    </w:p>
    <w:p>
      <w:r>
        <w:t>2.5 Im Hauptpunkt macht der Gesuchsteller geltend, es würden triftige Gründe für ein Abweichen vom gesetzlichen Gerichtsstand vorliegen. So stehe einem jahrelangen, gewerbsmässigen Anbau, Besitz, Vermitteln von sowie Handel mit Cannabis und Marihuana ausschliesslich im Kanton Zürich eine einzige Tathandlung (Einfuhr von 2’190 neuen Hanfstecklingen) im Kanton St. Gallen gegenüber, und auch dieser Transport hätte nach Zürich führen sollen. Es sei ein reiner Zufall gewesen, dass der Beschuldigte am 14. Dezember 2017 am Grenzübergang Z./SG angehalten und kontrolliert worden sei. Es könne nicht sein, dass eine Staatsanwaltschaft, in deren örtlichem Zuständigkeitsgebiet sämtliche Grenzübergänge von und nach Osten lägen, gezwungen sei, alle Straftaten, die während einer Grenzkontrolle ans Licht kommen würden, weiterzuführen, wenn ganz klar sämtliche bisherigen Tathandlungen, und dies während mehreren Jahren, in einem anderen Kanton begangen worden seien. […]</w:t>
      </w:r>
    </w:p>
    <w:p>
      <w:r>
        <w:t>Der Gesuchsteller bringt im Eventualstandpunkt vor, dass im Kanton St. Gallen lediglich eine einfache Widerhandlung gegen das BetmG vorliegen würde, wenn man einen Gesamtzusammenhang zwischen der Einfuhr der 2’190 Hanfstecklinge und dem jahrelangen gewerbsmässigen Anbau von sowie Handel mit Cannabis und Marihuana verneinen wollte. So würden 2’190 Hanfstecklinge für sich allein gesehen keine Gewerbsmässigkeit nach Art. 19 Abs. 2 lit. c BetmG darstellen. Diesfalls wäre die Zuständigkeit des Kantons Zürich gemäss Art. 34 Abs. 1 erster Satz StPO gegeben.</w:t>
      </w:r>
    </w:p>
    <w:p>
      <w:r>
        <w:t>TPF 2018 38</w:t>
      </w:r>
    </w:p>
    <w:p>
      <w:r>
        <w:rPr>
          <w:b/>
        </w:rPr>
        <w:t>E. 41</w:t>
      </w:r>
    </w:p>
    <w:p>
      <w:r>
        <w:t>2.6 Demgegenüber stellt sich der Gesuchsgegner auf den Standpunkt, dass das Abweichen vom gesetzlichen Gerichtsstand die Ausnahme sein soll, weshalb vorliegend der Gesuchsteller zuständig sei. Er verwirft des Weiteren die Argumentation des Gesuchstellers, wonach im Kanton St. Gallen das weniger schwere Delikt verübt worden sei, da es sich bei der Einfuhr der 2’190 Hanfstecklinge nur um eine einfache Widerhandlung gegen das BetmG handle, weshalb der Kanton Zürich zuständig sei. Bei der Einfuhr einer solch grossen Menge liege der Verdacht eines gewerbsmässigen Handelns – und damit einer mit der gleichen Strafandrohung begangenen Tat – nahe.</w:t>
      </w:r>
    </w:p>
    <w:p>
      <w:r>
        <w:t>2.7 Vom Gesuchsgegner wird nicht bestritten, dass von einem jahrelangen, gewerbsmässigen Anbau, Besitz, Vermitteln von sowie Handel mit Cannabis und Marihuana im Kanton Zürich auszugehen ist. Ob der Import der 2'190 Hanfstecklinge mit den jahrelangen Tathandlungen im Kanton Zürich bei natürlicher Betrachtung eine auf einem einheitlichen Willensakt beruhende Einheit im Sinne eines zusammenhängenden Geschehens bildet, kann vorliegend offen gelassen werden. Es liegt jedenfalls auf der Hand, die strafbaren Handlungen im Kanton Zürich und den Import über den Kanton St. Gallen als juristische Handlungseinheit im Sinne eines Kollektivdeliktes zu betrachten. Es liegt ein ausreichend enger räumlicher und zeitlicher Zusammenhang zwischen den Betäubungsmitteldelikten im Kanton Zürich und dem Import vor. In den Akten findet sich nichts, was einen umfassenden Gesamtvorsatz ausschliessen würde. Damit stellt der Import vom 14. Dezember 2017 einen integrierten Teil eines Ganzen dar, welches sich als mehrjähriger Anbau, Vermitteln und Handeln mit Marihuana und Cannabis erweist.</w:t>
      </w:r>
    </w:p>
    <w:p>
      <w:r>
        <w:t>2.8 Unter diesen Umständen sind in Anwendung von Art. 33 Abs. 2 und Art. 34 Abs. 1 Satz 2 StPO grundsätzlich die Behörden jenes Ortes zur Verfolgung zuständig, wo die Untersuchung zuerst angehoben wurde, d.h. vorliegend der Gesuchsteller.</w:t>
      </w:r>
    </w:p>
    <w:p>
      <w:r>
        <w:t>3. 3.1 Die Beschwerdekammer kann (wie die beteiligten Staatsanwaltschaften untereinander auch) einen andern als den in den Art. 31–37 StPO vorgesehenen Gerichtsstand festlegen, wenn der Schwerpunkt der deliktischen Tätigkeit oder die persönlichen Verhältnisse der beschuldigten Person es erfordern oder andere triftige Gründe vorliegen (Art. 40 Abs. 3 StPO). Ein solches Abweichen vom gesetzlichen Gerichtsstand soll indes die Ausnahme bleiben. Eine Vereinbarung bzw. der Beschluss, einen</w:t>
      </w:r>
    </w:p>
    <w:p>
      <w:r>
        <w:t>TPF 2018 38</w:t>
      </w:r>
    </w:p>
    <w:p>
      <w:r>
        <w:rPr>
          <w:b/>
        </w:rPr>
        <w:t>E. 42</w:t>
      </w:r>
    </w:p>
    <w:p>
      <w:r>
        <w:t>gesetzlich nicht zuständigen Kanton mit der Verfolgung zu betrauen, setzt triftige Gründe voraus und die Überlegungen, welche den gesetzlichen Gerichtsstand als unzweckmässig erscheinen lassen, müssen sich gebieterisch aufdrängen; die Latte für ein Abweichen vom gesetzlichen Gerichtsstand ist entsprechend hoch anzusetzen. Überdies kann ein Kanton entgegen dem gesetzlichen Gerichtsstand nur für zuständig erklärt werden resp. sich selber als zuständig erklären, wenn dort tatsächlich ein örtlicher Anknüpfungspunkt besteht (TPF 2012 66 E. 3.1 S. 67 f.; TPF 2011 178 E. 3.1 S. 180 f.; jeweils m.w.H.).</w:t>
      </w:r>
    </w:p>
    <w:p>
      <w:r>
        <w:t>3.2 Ein triftiger Grund für das Abweichen vom gesetzlichen Gerichtsstand kann im Schwergewicht der deliktischen Tätigkeit der Beschuldigten liegen (vgl. Art. 38 Abs. 1 und Art. 40 Abs. 3 StPO; hierzu u.a. TPF 2012 66 E. 3.1 S. 68 m.w.H.). Gemäss konstanter Praxis kann von einem solchen Schwergewicht ausgegangen werden, wenn mehr als zwei Drittel einer grösseren Anzahl von Straftaten auf einen einzigen Kanton entfallen (BGE 129 IV 202 E. 2 S. 203; siehe auch den Beschluss des Bundesstrafgerichts BG.2011.25 vom 28. September 2011 E. 3.1). Das Übergewicht muss dabei so offensichtlich und bedeutsam sein, dass sich das Abweichen vom gesetzlichen Gerichtsstand geradezu aufdrängt (MOSER/SCHLAPBACH, Basler Kommentar, 2. Aufl. 2014, Art. 38 StPO N. 7 f.; GUIDON/BÄNZIGER, Die aktuelle Rechtsprechung des Bundesstrafgerichts zum interkantonalen Gerichtsstand in Strafsachen, Jusletter vom 21. Mai 2007, N. 48 m.w.H.). Fehlt es bereits an einer grösseren Zahl der in Frage stehenden Fälle, so drängt sich ein Abweichen vom gesetzlichen Gerichtsstand – sofern nicht weitere triftige prozessökonomische Gesichtspunkte ernsthaft in Betracht gezogen werden müssen – nicht auf (siehe hierzu den Beschluss des Bundesstrafgerichts BG.2011.25 vom 28. September 2011 E. 3.2; vgl. auch die Entscheide des Bundesstrafgerichts BG.2009.30 vom 26. Oktober 2009 E. 2.3; BG.2009.23 vom 13. Oktober 2009 E. 2.4; BK_G 038/04 vom 13. Juli 2004 E. 5).</w:t>
      </w:r>
    </w:p>
    <w:p>
      <w:r>
        <w:t>3.3 Die für ein ausnahmsweises Abweichen vom gesetzlichen Gerichtsstand entwickelte Praxis zum «Schwergewicht» betrifft weit überwiegend Fälle von Vermögensdelikten (Einbruchsdiebstähle, Bestellungsbetrug etc.) und orientiert sich am Element der reinen Zahl (der einzelnen Vermögensdelikte) und deren Zuordnung zu einem Kanton. Wie viele der einzelnen Tathandlungen von Art. 19 Abs. 1 BetmG verschiedene Entwicklungsstufen derselben deliktischen Tätigkeit von A. darstellen, lässt sich rein von der Anzahl Einzeltaten nicht exakt beziffern. Auch aufgrund der Aussagen von A. selbst steht aber fest, dass praktisch die Gesamtheit</w:t>
      </w:r>
    </w:p>
    <w:p>
      <w:r>
        <w:t>TPF 2018 43</w:t>
      </w:r>
    </w:p>
    <w:p>
      <w:r>
        <w:rPr>
          <w:b/>
        </w:rPr>
        <w:t>E. 43</w:t>
      </w:r>
    </w:p>
    <w:p>
      <w:r>
        <w:t>der Einzelhandlungen über einen nicht unerheblichen Zeitraum hinaus im Kanton Zürich stattfand. Selbst wenn die auf den Kanton Zürich entfallenden Straftaten sich dabei nicht einzeln zählen lassen, ist doch sowohl die Voraussetzung der grossen Anzahl in Frage stehender Fälle erfüllt als auch die Grenze der zwei Drittel eindeutig überschritten. Ein vom forum praeventionis abweichendes eindeutiges Schwergewicht wäre überdies auch in Konstellationen möglich, die sich nicht einfach mit einem blossen Zählen von Einzelfällen erfassen lassen. Eine solche Konstellation kann – wie gerade der vorliegende Fall deutlich macht – darin liegen, dass ein im eigentlichen Sinn «gesamthaft deliktischer Geschäftsbetrieb» in einem Kanton zu verorten ist, während eine dazugehörige Einzelhandlung in einem anderen Kanton stattfindet. Es ist offensichtlich, dass gemäss dem aktuellen Ermittlungsstand das eindeutige Schwergewicht der Tathandlungen von A. sich auf den Kanton Zürich konzentriert. Bei dieser Ausgangslage alle weiteren vor Ort vorzunehmenden Untersuchungsschritte rechtshilfeweise vornehmen zu lassen, widerspräche der Prozessökonomie. Vorliegend drängt es sich daher geradezu auf, vom gesetzlichen Gerichtsstand abzuweichen.</w:t>
      </w:r>
    </w:p>
    <w:p>
      <w:r>
        <w:t>TPF 2018 43</w:t>
      </w:r>
    </w:p>
    <w:p>
      <w:r>
        <w:t>8. Auszug aus dem Entscheid der Beschwerdekammer in Sachen A. gegen Bundesanwaltschaft vom 12. März 2018 (RR.2017.260)</w:t>
      </w:r>
    </w:p>
    <w:p>
      <w:r>
        <w:t>Internationale Rechtshilfe in Strafsachen; Einrede des politischen Delikts</w:t>
      </w:r>
    </w:p>
    <w:p>
      <w:r>
        <w:t>Art. 3 Abs. 1 IRSG, Art. 4 Abs. 1 lit. a des Vertrags zwischen der Schweizerischen Eidgenossenschaft und der Republik Peru über Rechtshilfe in Strafsachen</w:t>
      </w:r>
    </w:p>
    <w:p>
      <w:r>
        <w:t>Bestechungsdelikte und Geldwäscherei sind keine Straftaten mit politischem Charakter im Sinne des Art. 3 Abs. 1 IRSG, auch wenn die gewaschenen Vermögenswerte in der Folge politischen Parteien zufliessen (E. 5.3.2–5.3.3).</w:t>
      </w:r>
    </w:p>
    <w:p>
      <w:r>
        <w:t>Entraide internationale en matière pénale; objection de délit politique</w:t>
      </w:r>
    </w:p>
    <w:p>
      <w:r>
        <w:t>Art. 3 al. 1 EIMP, art. 4 par. 1 let. a du Traité d’entraide judiciaire en matière pénale entre la Confédération Suisse et la République du Pérou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